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3BB1F" w14:textId="77777777" w:rsidR="00094375" w:rsidRPr="00B425BD" w:rsidRDefault="008C5B05" w:rsidP="00E37245">
      <w:pPr>
        <w:spacing w:line="480" w:lineRule="auto"/>
        <w:rPr>
          <w:rFonts w:cstheme="minorHAnsi"/>
          <w:b/>
          <w:bCs/>
          <w:sz w:val="24"/>
          <w:szCs w:val="24"/>
          <w:u w:val="single"/>
        </w:rPr>
      </w:pPr>
      <w:r w:rsidRPr="00B425BD">
        <w:rPr>
          <w:rFonts w:cstheme="minorHAnsi"/>
          <w:b/>
          <w:bCs/>
          <w:sz w:val="24"/>
          <w:szCs w:val="24"/>
          <w:u w:val="single"/>
        </w:rPr>
        <w:t>Question 1</w:t>
      </w:r>
    </w:p>
    <w:p w14:paraId="7E1E37C6" w14:textId="77777777" w:rsidR="00402AC6" w:rsidRPr="00B425BD" w:rsidRDefault="00402AC6" w:rsidP="00E37245">
      <w:pPr>
        <w:spacing w:line="480" w:lineRule="auto"/>
        <w:jc w:val="both"/>
        <w:rPr>
          <w:rFonts w:cstheme="minorHAnsi"/>
          <w:b/>
          <w:bCs/>
          <w:sz w:val="24"/>
          <w:szCs w:val="24"/>
        </w:rPr>
      </w:pPr>
      <w:r w:rsidRPr="00B425BD">
        <w:rPr>
          <w:rFonts w:cstheme="minorHAnsi"/>
          <w:b/>
          <w:bCs/>
          <w:sz w:val="24"/>
          <w:szCs w:val="24"/>
        </w:rPr>
        <w:t>Introduction and Issues</w:t>
      </w:r>
    </w:p>
    <w:p w14:paraId="684EAAE0" w14:textId="77777777" w:rsidR="00402AC6" w:rsidRPr="00B425BD" w:rsidRDefault="00402AC6" w:rsidP="00E37245">
      <w:pPr>
        <w:spacing w:line="480" w:lineRule="auto"/>
        <w:jc w:val="both"/>
        <w:rPr>
          <w:rFonts w:cstheme="minorHAnsi"/>
          <w:sz w:val="24"/>
          <w:szCs w:val="24"/>
        </w:rPr>
      </w:pPr>
      <w:r w:rsidRPr="00B425BD">
        <w:rPr>
          <w:rFonts w:cstheme="minorHAnsi"/>
          <w:sz w:val="24"/>
          <w:szCs w:val="24"/>
        </w:rPr>
        <w:t>The issues arising here are in relation to the five items that have been identified by Selina as potentially part of the property she is purchasing, namely the statue</w:t>
      </w:r>
      <w:r w:rsidR="004B0694" w:rsidRPr="00B425BD">
        <w:rPr>
          <w:rFonts w:cstheme="minorHAnsi"/>
          <w:sz w:val="24"/>
          <w:szCs w:val="24"/>
        </w:rPr>
        <w:t xml:space="preserve">, the terracotta pots, the seat, the </w:t>
      </w:r>
      <w:proofErr w:type="gramStart"/>
      <w:r w:rsidR="004B0694" w:rsidRPr="00B425BD">
        <w:rPr>
          <w:rFonts w:cstheme="minorHAnsi"/>
          <w:sz w:val="24"/>
          <w:szCs w:val="24"/>
        </w:rPr>
        <w:t>summerhouse</w:t>
      </w:r>
      <w:proofErr w:type="gramEnd"/>
      <w:r w:rsidR="004B0694" w:rsidRPr="00B425BD">
        <w:rPr>
          <w:rFonts w:cstheme="minorHAnsi"/>
          <w:sz w:val="24"/>
          <w:szCs w:val="24"/>
        </w:rPr>
        <w:t xml:space="preserve"> and the kitchen units. As Selina is purchasing the property</w:t>
      </w:r>
      <w:r w:rsidR="00F36CAF" w:rsidRPr="00B425BD">
        <w:rPr>
          <w:rFonts w:cstheme="minorHAnsi"/>
          <w:sz w:val="24"/>
          <w:szCs w:val="24"/>
        </w:rPr>
        <w:t>,</w:t>
      </w:r>
      <w:r w:rsidR="004B0694" w:rsidRPr="00B425BD">
        <w:rPr>
          <w:rFonts w:cstheme="minorHAnsi"/>
          <w:sz w:val="24"/>
          <w:szCs w:val="24"/>
        </w:rPr>
        <w:t xml:space="preserve"> distinguishing between fixtures and fittings is going to be critical</w:t>
      </w:r>
      <w:r w:rsidR="00F36CAF" w:rsidRPr="00B425BD">
        <w:rPr>
          <w:rFonts w:cstheme="minorHAnsi"/>
          <w:sz w:val="24"/>
          <w:szCs w:val="24"/>
        </w:rPr>
        <w:t>,</w:t>
      </w:r>
      <w:r w:rsidR="004B0694" w:rsidRPr="00B425BD">
        <w:rPr>
          <w:rFonts w:cstheme="minorHAnsi"/>
          <w:sz w:val="24"/>
          <w:szCs w:val="24"/>
        </w:rPr>
        <w:t xml:space="preserve"> fixtures bei</w:t>
      </w:r>
      <w:r w:rsidR="00F36CAF" w:rsidRPr="00B425BD">
        <w:rPr>
          <w:rFonts w:cstheme="minorHAnsi"/>
          <w:sz w:val="24"/>
          <w:szCs w:val="24"/>
        </w:rPr>
        <w:t>ng</w:t>
      </w:r>
      <w:r w:rsidR="004B0694" w:rsidRPr="00B425BD">
        <w:rPr>
          <w:rFonts w:cstheme="minorHAnsi"/>
          <w:sz w:val="24"/>
          <w:szCs w:val="24"/>
        </w:rPr>
        <w:t xml:space="preserve"> part of the land and therefore transferring and fittings remaining with the seller (</w:t>
      </w:r>
      <w:r w:rsidR="0006484F" w:rsidRPr="00B425BD">
        <w:rPr>
          <w:rFonts w:cstheme="minorHAnsi"/>
          <w:i/>
          <w:iCs/>
          <w:sz w:val="24"/>
          <w:szCs w:val="24"/>
        </w:rPr>
        <w:t xml:space="preserve">Section </w:t>
      </w:r>
      <w:r w:rsidR="00527772" w:rsidRPr="00B425BD">
        <w:rPr>
          <w:rFonts w:cstheme="minorHAnsi"/>
          <w:i/>
          <w:iCs/>
          <w:sz w:val="24"/>
          <w:szCs w:val="24"/>
        </w:rPr>
        <w:t>205</w:t>
      </w:r>
      <w:r w:rsidR="00AD74B7" w:rsidRPr="00B425BD">
        <w:rPr>
          <w:rFonts w:cstheme="minorHAnsi"/>
          <w:sz w:val="24"/>
          <w:szCs w:val="24"/>
        </w:rPr>
        <w:t xml:space="preserve"> </w:t>
      </w:r>
      <w:r w:rsidR="004B0694" w:rsidRPr="00B425BD">
        <w:rPr>
          <w:rFonts w:cstheme="minorHAnsi"/>
          <w:i/>
          <w:iCs/>
          <w:sz w:val="24"/>
          <w:szCs w:val="24"/>
        </w:rPr>
        <w:t>Law of Property Act 1925</w:t>
      </w:r>
      <w:r w:rsidR="004B0694" w:rsidRPr="00B425BD">
        <w:rPr>
          <w:rFonts w:cstheme="minorHAnsi"/>
          <w:sz w:val="24"/>
          <w:szCs w:val="24"/>
        </w:rPr>
        <w:t xml:space="preserve">). </w:t>
      </w:r>
      <w:r w:rsidR="00F36CAF" w:rsidRPr="00B425BD">
        <w:rPr>
          <w:rFonts w:cstheme="minorHAnsi"/>
          <w:sz w:val="24"/>
          <w:szCs w:val="24"/>
        </w:rPr>
        <w:t>L</w:t>
      </w:r>
      <w:r w:rsidR="00414EAA" w:rsidRPr="00B425BD">
        <w:rPr>
          <w:rFonts w:cstheme="minorHAnsi"/>
          <w:sz w:val="24"/>
          <w:szCs w:val="24"/>
        </w:rPr>
        <w:t>ooking at this from a legal perspective, fittings are often referred to as chattels and are personal in nature</w:t>
      </w:r>
      <w:r w:rsidR="00F36CAF" w:rsidRPr="00B425BD">
        <w:rPr>
          <w:rFonts w:cstheme="minorHAnsi"/>
          <w:sz w:val="24"/>
          <w:szCs w:val="24"/>
        </w:rPr>
        <w:t>;</w:t>
      </w:r>
      <w:r w:rsidR="00414EAA" w:rsidRPr="00B425BD">
        <w:rPr>
          <w:rFonts w:cstheme="minorHAnsi"/>
          <w:sz w:val="24"/>
          <w:szCs w:val="24"/>
        </w:rPr>
        <w:t xml:space="preserve"> however</w:t>
      </w:r>
      <w:r w:rsidR="00F36CAF" w:rsidRPr="00B425BD">
        <w:rPr>
          <w:rFonts w:cstheme="minorHAnsi"/>
          <w:sz w:val="24"/>
          <w:szCs w:val="24"/>
        </w:rPr>
        <w:t>,</w:t>
      </w:r>
      <w:r w:rsidR="00414EAA" w:rsidRPr="00B425BD">
        <w:rPr>
          <w:rFonts w:cstheme="minorHAnsi"/>
          <w:sz w:val="24"/>
          <w:szCs w:val="24"/>
        </w:rPr>
        <w:t xml:space="preserve"> when they become affixed to the land</w:t>
      </w:r>
      <w:r w:rsidR="00F36CAF" w:rsidRPr="00B425BD">
        <w:rPr>
          <w:rFonts w:cstheme="minorHAnsi"/>
          <w:sz w:val="24"/>
          <w:szCs w:val="24"/>
        </w:rPr>
        <w:t>,</w:t>
      </w:r>
      <w:r w:rsidR="00414EAA" w:rsidRPr="00B425BD">
        <w:rPr>
          <w:rFonts w:cstheme="minorHAnsi"/>
          <w:sz w:val="24"/>
          <w:szCs w:val="24"/>
        </w:rPr>
        <w:t xml:space="preserve"> they then become fixtures</w:t>
      </w:r>
      <w:r w:rsidR="001A1F51" w:rsidRPr="00B425BD">
        <w:rPr>
          <w:rFonts w:cstheme="minorHAnsi"/>
          <w:sz w:val="24"/>
          <w:szCs w:val="24"/>
        </w:rPr>
        <w:t xml:space="preserve"> (</w:t>
      </w:r>
      <w:r w:rsidR="001A1F51" w:rsidRPr="00B425BD">
        <w:rPr>
          <w:rFonts w:cstheme="minorHAnsi"/>
          <w:sz w:val="24"/>
          <w:szCs w:val="24"/>
          <w:shd w:val="clear" w:color="auto" w:fill="FFFFFF"/>
        </w:rPr>
        <w:t>MacKenzie, 2020)</w:t>
      </w:r>
      <w:r w:rsidR="00414EAA" w:rsidRPr="00B425BD">
        <w:rPr>
          <w:rFonts w:cstheme="minorHAnsi"/>
          <w:sz w:val="24"/>
          <w:szCs w:val="24"/>
        </w:rPr>
        <w:t>. A fixture belongs to the owner of the land and therefore</w:t>
      </w:r>
      <w:r w:rsidR="00F36CAF" w:rsidRPr="00B425BD">
        <w:rPr>
          <w:rFonts w:cstheme="minorHAnsi"/>
          <w:sz w:val="24"/>
          <w:szCs w:val="24"/>
        </w:rPr>
        <w:t>,</w:t>
      </w:r>
      <w:r w:rsidR="00414EAA" w:rsidRPr="00B425BD">
        <w:rPr>
          <w:rFonts w:cstheme="minorHAnsi"/>
          <w:sz w:val="24"/>
          <w:szCs w:val="24"/>
        </w:rPr>
        <w:t xml:space="preserve"> upon taking ownership of the land, Selina would become the owner of the fixtures</w:t>
      </w:r>
      <w:r w:rsidR="00527772" w:rsidRPr="00B425BD">
        <w:rPr>
          <w:rFonts w:cstheme="minorHAnsi"/>
          <w:sz w:val="24"/>
          <w:szCs w:val="24"/>
        </w:rPr>
        <w:t xml:space="preserve"> in accordance with </w:t>
      </w:r>
      <w:r w:rsidR="0006484F" w:rsidRPr="00B425BD">
        <w:rPr>
          <w:rFonts w:cstheme="minorHAnsi"/>
          <w:i/>
          <w:iCs/>
          <w:sz w:val="24"/>
          <w:szCs w:val="24"/>
        </w:rPr>
        <w:t>Section 62</w:t>
      </w:r>
      <w:r w:rsidR="00527772" w:rsidRPr="00B425BD">
        <w:rPr>
          <w:rFonts w:cstheme="minorHAnsi"/>
          <w:sz w:val="24"/>
          <w:szCs w:val="24"/>
        </w:rPr>
        <w:t xml:space="preserve"> of the </w:t>
      </w:r>
      <w:r w:rsidR="0006484F" w:rsidRPr="00B425BD">
        <w:rPr>
          <w:rFonts w:cstheme="minorHAnsi"/>
          <w:i/>
          <w:iCs/>
          <w:sz w:val="24"/>
          <w:szCs w:val="24"/>
        </w:rPr>
        <w:t>Law of Property Act 1925</w:t>
      </w:r>
      <w:r w:rsidR="00414EAA" w:rsidRPr="00B425BD">
        <w:rPr>
          <w:rFonts w:cstheme="minorHAnsi"/>
          <w:sz w:val="24"/>
          <w:szCs w:val="24"/>
        </w:rPr>
        <w:t>. It is critical therefore to distinguish between the two on transfer</w:t>
      </w:r>
      <w:r w:rsidR="00F36CAF" w:rsidRPr="00B425BD">
        <w:rPr>
          <w:rFonts w:cstheme="minorHAnsi"/>
          <w:sz w:val="24"/>
          <w:szCs w:val="24"/>
        </w:rPr>
        <w:t>,</w:t>
      </w:r>
      <w:r w:rsidR="00414EAA" w:rsidRPr="00B425BD">
        <w:rPr>
          <w:rFonts w:cstheme="minorHAnsi"/>
          <w:sz w:val="24"/>
          <w:szCs w:val="24"/>
        </w:rPr>
        <w:t xml:space="preserve"> and only those items that would be deemed fixtures would transfer to Selina. </w:t>
      </w:r>
    </w:p>
    <w:p w14:paraId="2CFE4EA2" w14:textId="77777777" w:rsidR="00402AC6" w:rsidRPr="00B425BD" w:rsidRDefault="00402AC6" w:rsidP="00E37245">
      <w:pPr>
        <w:spacing w:line="480" w:lineRule="auto"/>
        <w:jc w:val="both"/>
        <w:rPr>
          <w:rFonts w:cstheme="minorHAnsi"/>
          <w:b/>
          <w:bCs/>
          <w:sz w:val="24"/>
          <w:szCs w:val="24"/>
        </w:rPr>
      </w:pPr>
      <w:r w:rsidRPr="00B425BD">
        <w:rPr>
          <w:rFonts w:cstheme="minorHAnsi"/>
          <w:b/>
          <w:bCs/>
          <w:sz w:val="24"/>
          <w:szCs w:val="24"/>
        </w:rPr>
        <w:t xml:space="preserve">Rules </w:t>
      </w:r>
    </w:p>
    <w:p w14:paraId="331B6EF9" w14:textId="77777777" w:rsidR="00414EAA" w:rsidRPr="00B425BD" w:rsidRDefault="00414EAA" w:rsidP="00E37245">
      <w:pPr>
        <w:spacing w:line="480" w:lineRule="auto"/>
        <w:jc w:val="both"/>
        <w:rPr>
          <w:rFonts w:cstheme="minorHAnsi"/>
          <w:sz w:val="24"/>
          <w:szCs w:val="24"/>
        </w:rPr>
      </w:pPr>
      <w:r w:rsidRPr="00B425BD">
        <w:rPr>
          <w:rFonts w:cstheme="minorHAnsi"/>
          <w:sz w:val="24"/>
          <w:szCs w:val="24"/>
        </w:rPr>
        <w:t xml:space="preserve">When looking </w:t>
      </w:r>
      <w:r w:rsidR="00F36CAF" w:rsidRPr="00B425BD">
        <w:rPr>
          <w:rFonts w:cstheme="minorHAnsi"/>
          <w:sz w:val="24"/>
          <w:szCs w:val="24"/>
        </w:rPr>
        <w:t>to</w:t>
      </w:r>
      <w:r w:rsidRPr="00B425BD">
        <w:rPr>
          <w:rFonts w:cstheme="minorHAnsi"/>
          <w:sz w:val="24"/>
          <w:szCs w:val="24"/>
        </w:rPr>
        <w:t xml:space="preserve"> determin</w:t>
      </w:r>
      <w:r w:rsidR="00F36CAF" w:rsidRPr="00B425BD">
        <w:rPr>
          <w:rFonts w:cstheme="minorHAnsi"/>
          <w:sz w:val="24"/>
          <w:szCs w:val="24"/>
        </w:rPr>
        <w:t>e</w:t>
      </w:r>
      <w:r w:rsidRPr="00B425BD">
        <w:rPr>
          <w:rFonts w:cstheme="minorHAnsi"/>
          <w:sz w:val="24"/>
          <w:szCs w:val="24"/>
        </w:rPr>
        <w:t xml:space="preserve"> whether an item is a fixture or a fitting</w:t>
      </w:r>
      <w:r w:rsidR="00F36CAF" w:rsidRPr="00B425BD">
        <w:rPr>
          <w:rFonts w:cstheme="minorHAnsi"/>
          <w:sz w:val="24"/>
          <w:szCs w:val="24"/>
        </w:rPr>
        <w:t>,</w:t>
      </w:r>
      <w:r w:rsidRPr="00B425BD">
        <w:rPr>
          <w:rFonts w:cstheme="minorHAnsi"/>
          <w:sz w:val="24"/>
          <w:szCs w:val="24"/>
        </w:rPr>
        <w:t xml:space="preserve"> there are several tests which </w:t>
      </w:r>
      <w:r w:rsidR="001E532D" w:rsidRPr="00B425BD">
        <w:rPr>
          <w:rFonts w:cstheme="minorHAnsi"/>
          <w:sz w:val="24"/>
          <w:szCs w:val="24"/>
        </w:rPr>
        <w:t>will be used by the courts in determining the status of an item</w:t>
      </w:r>
      <w:r w:rsidRPr="00B425BD">
        <w:rPr>
          <w:rFonts w:cstheme="minorHAnsi"/>
          <w:sz w:val="24"/>
          <w:szCs w:val="24"/>
        </w:rPr>
        <w:t xml:space="preserve">. The primary matter to look at is the level of attachment to the land. </w:t>
      </w:r>
      <w:r w:rsidR="003F0EC0" w:rsidRPr="00B425BD">
        <w:rPr>
          <w:rFonts w:cstheme="minorHAnsi"/>
          <w:sz w:val="24"/>
          <w:szCs w:val="24"/>
        </w:rPr>
        <w:t xml:space="preserve">The starting point </w:t>
      </w:r>
      <w:r w:rsidR="00F36CAF" w:rsidRPr="00B425BD">
        <w:rPr>
          <w:rFonts w:cstheme="minorHAnsi"/>
          <w:sz w:val="24"/>
          <w:szCs w:val="24"/>
        </w:rPr>
        <w:t>here is</w:t>
      </w:r>
      <w:r w:rsidR="003F0EC0" w:rsidRPr="00B425BD">
        <w:rPr>
          <w:rFonts w:cstheme="minorHAnsi"/>
          <w:sz w:val="24"/>
          <w:szCs w:val="24"/>
        </w:rPr>
        <w:t xml:space="preserve"> the leading case of </w:t>
      </w:r>
      <w:r w:rsidR="003F0EC0" w:rsidRPr="00B425BD">
        <w:rPr>
          <w:rFonts w:cstheme="minorHAnsi"/>
          <w:i/>
          <w:iCs/>
          <w:sz w:val="24"/>
          <w:szCs w:val="24"/>
        </w:rPr>
        <w:t>Holland v Hodgson</w:t>
      </w:r>
      <w:r w:rsidR="001E532D" w:rsidRPr="00B425BD">
        <w:rPr>
          <w:rFonts w:cstheme="minorHAnsi"/>
          <w:i/>
          <w:iCs/>
          <w:sz w:val="24"/>
          <w:szCs w:val="24"/>
        </w:rPr>
        <w:t xml:space="preserve"> [1872] LR 7 CP 328</w:t>
      </w:r>
      <w:r w:rsidR="00F36CAF" w:rsidRPr="00B425BD">
        <w:rPr>
          <w:rFonts w:cstheme="minorHAnsi"/>
          <w:sz w:val="24"/>
          <w:szCs w:val="24"/>
        </w:rPr>
        <w:t>,</w:t>
      </w:r>
      <w:r w:rsidR="003F0EC0" w:rsidRPr="00B425BD">
        <w:rPr>
          <w:rFonts w:cstheme="minorHAnsi"/>
          <w:sz w:val="24"/>
          <w:szCs w:val="24"/>
        </w:rPr>
        <w:t xml:space="preserve"> where it was held that the prima facie position is that w</w:t>
      </w:r>
      <w:r w:rsidR="00F36CAF" w:rsidRPr="00B425BD">
        <w:rPr>
          <w:rFonts w:cstheme="minorHAnsi"/>
          <w:sz w:val="24"/>
          <w:szCs w:val="24"/>
        </w:rPr>
        <w:t>h</w:t>
      </w:r>
      <w:r w:rsidR="003F0EC0" w:rsidRPr="00B425BD">
        <w:rPr>
          <w:rFonts w:cstheme="minorHAnsi"/>
          <w:sz w:val="24"/>
          <w:szCs w:val="24"/>
        </w:rPr>
        <w:t xml:space="preserve">ere an item is affixed to the land it should </w:t>
      </w:r>
      <w:proofErr w:type="gramStart"/>
      <w:r w:rsidR="003F0EC0" w:rsidRPr="00B425BD">
        <w:rPr>
          <w:rFonts w:cstheme="minorHAnsi"/>
          <w:sz w:val="24"/>
          <w:szCs w:val="24"/>
        </w:rPr>
        <w:t>be considered to be</w:t>
      </w:r>
      <w:proofErr w:type="gramEnd"/>
      <w:r w:rsidR="003F0EC0" w:rsidRPr="00B425BD">
        <w:rPr>
          <w:rFonts w:cstheme="minorHAnsi"/>
          <w:sz w:val="24"/>
          <w:szCs w:val="24"/>
        </w:rPr>
        <w:t xml:space="preserve"> part of the land. A crucial part of the judgment </w:t>
      </w:r>
      <w:r w:rsidR="00F36CAF" w:rsidRPr="00B425BD">
        <w:rPr>
          <w:rFonts w:cstheme="minorHAnsi"/>
          <w:sz w:val="24"/>
          <w:szCs w:val="24"/>
        </w:rPr>
        <w:t>was the</w:t>
      </w:r>
      <w:r w:rsidR="003F0EC0" w:rsidRPr="00B425BD">
        <w:rPr>
          <w:rFonts w:cstheme="minorHAnsi"/>
          <w:sz w:val="24"/>
          <w:szCs w:val="24"/>
        </w:rPr>
        <w:t xml:space="preserve"> state</w:t>
      </w:r>
      <w:r w:rsidR="00F36CAF" w:rsidRPr="00B425BD">
        <w:rPr>
          <w:rFonts w:cstheme="minorHAnsi"/>
          <w:sz w:val="24"/>
          <w:szCs w:val="24"/>
        </w:rPr>
        <w:t>ment</w:t>
      </w:r>
      <w:r w:rsidR="003F0EC0" w:rsidRPr="00B425BD">
        <w:rPr>
          <w:rFonts w:cstheme="minorHAnsi"/>
          <w:sz w:val="24"/>
          <w:szCs w:val="24"/>
        </w:rPr>
        <w:t xml:space="preserve"> by Blackburn J </w:t>
      </w:r>
      <w:r w:rsidR="00F36CAF" w:rsidRPr="00B425BD">
        <w:rPr>
          <w:rFonts w:cstheme="minorHAnsi"/>
          <w:sz w:val="24"/>
          <w:szCs w:val="24"/>
        </w:rPr>
        <w:t>that</w:t>
      </w:r>
      <w:r w:rsidR="003F0EC0" w:rsidRPr="00B425BD">
        <w:rPr>
          <w:rFonts w:cstheme="minorHAnsi"/>
          <w:sz w:val="24"/>
          <w:szCs w:val="24"/>
        </w:rPr>
        <w:t xml:space="preserve"> “an article which is affixed to the land even slightly is to be considered as part of the land, unless the circumstances are such as </w:t>
      </w:r>
      <w:r w:rsidR="003F0EC0" w:rsidRPr="00B425BD">
        <w:rPr>
          <w:rFonts w:cstheme="minorHAnsi"/>
          <w:sz w:val="24"/>
          <w:szCs w:val="24"/>
        </w:rPr>
        <w:lastRenderedPageBreak/>
        <w:t xml:space="preserve">to shew that it was intended to all along continue a chattel, the onus lying on those who contend that it is a chattel.” </w:t>
      </w:r>
    </w:p>
    <w:p w14:paraId="3E7D234B" w14:textId="2341C57E" w:rsidR="003F0EC0" w:rsidRPr="00B425BD" w:rsidRDefault="003F0EC0" w:rsidP="00E37245">
      <w:pPr>
        <w:spacing w:line="480" w:lineRule="auto"/>
        <w:jc w:val="both"/>
        <w:rPr>
          <w:rFonts w:cstheme="minorHAnsi"/>
          <w:sz w:val="24"/>
          <w:szCs w:val="24"/>
        </w:rPr>
      </w:pPr>
      <w:r w:rsidRPr="00B425BD">
        <w:rPr>
          <w:rFonts w:cstheme="minorHAnsi"/>
          <w:sz w:val="24"/>
          <w:szCs w:val="24"/>
        </w:rPr>
        <w:t xml:space="preserve">Although this is the starting point, it is recognised that the matter is not always </w:t>
      </w:r>
      <w:r w:rsidR="006F6D9F" w:rsidRPr="00E37245">
        <w:rPr>
          <w:rFonts w:cstheme="minorHAnsi"/>
          <w:sz w:val="24"/>
          <w:szCs w:val="24"/>
        </w:rPr>
        <w:t>obvious,</w:t>
      </w:r>
      <w:r w:rsidRPr="00B425BD">
        <w:rPr>
          <w:rFonts w:cstheme="minorHAnsi"/>
          <w:sz w:val="24"/>
          <w:szCs w:val="24"/>
        </w:rPr>
        <w:t xml:space="preserve"> and it will be necessary to </w:t>
      </w:r>
      <w:proofErr w:type="gramStart"/>
      <w:r w:rsidRPr="00B425BD">
        <w:rPr>
          <w:rFonts w:cstheme="minorHAnsi"/>
          <w:sz w:val="24"/>
          <w:szCs w:val="24"/>
        </w:rPr>
        <w:t>take into account</w:t>
      </w:r>
      <w:proofErr w:type="gramEnd"/>
      <w:r w:rsidRPr="00B425BD">
        <w:rPr>
          <w:rFonts w:cstheme="minorHAnsi"/>
          <w:sz w:val="24"/>
          <w:szCs w:val="24"/>
        </w:rPr>
        <w:t xml:space="preserve"> the level of annexation as well as the reason for the annexation in the first place. By looking at case law it is possible to gain a greater understanding of how this would apply in the court. In the case of </w:t>
      </w:r>
      <w:r w:rsidRPr="00B425BD">
        <w:rPr>
          <w:rFonts w:cstheme="minorHAnsi"/>
          <w:i/>
          <w:iCs/>
          <w:sz w:val="24"/>
          <w:szCs w:val="24"/>
        </w:rPr>
        <w:t>D’Eyncourt v Gregory</w:t>
      </w:r>
      <w:r w:rsidRPr="00B425BD">
        <w:rPr>
          <w:rFonts w:cstheme="minorHAnsi"/>
          <w:sz w:val="24"/>
          <w:szCs w:val="24"/>
        </w:rPr>
        <w:t xml:space="preserve"> in 1866</w:t>
      </w:r>
      <w:r w:rsidR="00F36CAF" w:rsidRPr="00B425BD">
        <w:rPr>
          <w:rFonts w:cstheme="minorHAnsi"/>
          <w:sz w:val="24"/>
          <w:szCs w:val="24"/>
        </w:rPr>
        <w:t>,</w:t>
      </w:r>
      <w:r w:rsidRPr="00B425BD">
        <w:rPr>
          <w:rFonts w:cstheme="minorHAnsi"/>
          <w:sz w:val="24"/>
          <w:szCs w:val="24"/>
        </w:rPr>
        <w:t xml:space="preserve"> the court had to consider whether tapestries across the property, </w:t>
      </w:r>
      <w:r w:rsidR="00AD5D8B" w:rsidRPr="00B425BD">
        <w:rPr>
          <w:rFonts w:cstheme="minorHAnsi"/>
          <w:sz w:val="24"/>
          <w:szCs w:val="24"/>
        </w:rPr>
        <w:t xml:space="preserve">gardens with vases and stone garden seats were to be categorised as fixtures or chattels. It was held in this case that the tapestries were fixtures </w:t>
      </w:r>
      <w:proofErr w:type="gramStart"/>
      <w:r w:rsidR="00AD5D8B" w:rsidRPr="00B425BD">
        <w:rPr>
          <w:rFonts w:cstheme="minorHAnsi"/>
          <w:sz w:val="24"/>
          <w:szCs w:val="24"/>
        </w:rPr>
        <w:t>due to the fact that</w:t>
      </w:r>
      <w:proofErr w:type="gramEnd"/>
      <w:r w:rsidR="00AD5D8B" w:rsidRPr="00B425BD">
        <w:rPr>
          <w:rFonts w:cstheme="minorHAnsi"/>
          <w:sz w:val="24"/>
          <w:szCs w:val="24"/>
        </w:rPr>
        <w:t xml:space="preserve"> they were an integral and fundamental part of the building. Furthermore</w:t>
      </w:r>
      <w:r w:rsidR="00F36CAF" w:rsidRPr="00B425BD">
        <w:rPr>
          <w:rFonts w:cstheme="minorHAnsi"/>
          <w:sz w:val="24"/>
          <w:szCs w:val="24"/>
        </w:rPr>
        <w:t>,</w:t>
      </w:r>
      <w:r w:rsidR="00AD5D8B" w:rsidRPr="00B425BD">
        <w:rPr>
          <w:rFonts w:cstheme="minorHAnsi"/>
          <w:sz w:val="24"/>
          <w:szCs w:val="24"/>
        </w:rPr>
        <w:t xml:space="preserve"> it was held that the statues, the </w:t>
      </w:r>
      <w:r w:rsidR="006F6D9F" w:rsidRPr="00E37245">
        <w:rPr>
          <w:rFonts w:cstheme="minorHAnsi"/>
          <w:sz w:val="24"/>
          <w:szCs w:val="24"/>
        </w:rPr>
        <w:t>seats,</w:t>
      </w:r>
      <w:r w:rsidR="00AD5D8B" w:rsidRPr="00B425BD">
        <w:rPr>
          <w:rFonts w:cstheme="minorHAnsi"/>
          <w:sz w:val="24"/>
          <w:szCs w:val="24"/>
        </w:rPr>
        <w:t xml:space="preserve"> and the vases were all to be considered fixtures as they </w:t>
      </w:r>
      <w:proofErr w:type="gramStart"/>
      <w:r w:rsidR="00AD5D8B" w:rsidRPr="00B425BD">
        <w:rPr>
          <w:rFonts w:cstheme="minorHAnsi"/>
          <w:sz w:val="24"/>
          <w:szCs w:val="24"/>
        </w:rPr>
        <w:t>were considered to be</w:t>
      </w:r>
      <w:proofErr w:type="gramEnd"/>
      <w:r w:rsidR="00AD5D8B" w:rsidRPr="00B425BD">
        <w:rPr>
          <w:rFonts w:cstheme="minorHAnsi"/>
          <w:sz w:val="24"/>
          <w:szCs w:val="24"/>
        </w:rPr>
        <w:t xml:space="preserve"> a fundamental part of the overall design of the property. </w:t>
      </w:r>
      <w:r w:rsidR="00534D3C" w:rsidRPr="00B425BD">
        <w:rPr>
          <w:rFonts w:cstheme="minorHAnsi"/>
          <w:sz w:val="24"/>
          <w:szCs w:val="24"/>
        </w:rPr>
        <w:t>Interestingly in this case</w:t>
      </w:r>
      <w:r w:rsidR="00F36CAF" w:rsidRPr="00B425BD">
        <w:rPr>
          <w:rFonts w:cstheme="minorHAnsi"/>
          <w:sz w:val="24"/>
          <w:szCs w:val="24"/>
        </w:rPr>
        <w:t>,</w:t>
      </w:r>
      <w:r w:rsidR="00534D3C" w:rsidRPr="00B425BD">
        <w:rPr>
          <w:rFonts w:cstheme="minorHAnsi"/>
          <w:sz w:val="24"/>
          <w:szCs w:val="24"/>
        </w:rPr>
        <w:t xml:space="preserve"> Lord Romilly MR noted that it was</w:t>
      </w:r>
      <w:r w:rsidR="00F36CAF" w:rsidRPr="00B425BD">
        <w:rPr>
          <w:rFonts w:cstheme="minorHAnsi"/>
          <w:sz w:val="24"/>
          <w:szCs w:val="24"/>
        </w:rPr>
        <w:t xml:space="preserve"> </w:t>
      </w:r>
      <w:r w:rsidR="00534D3C" w:rsidRPr="00B425BD">
        <w:rPr>
          <w:rFonts w:cstheme="minorHAnsi"/>
          <w:sz w:val="24"/>
          <w:szCs w:val="24"/>
        </w:rPr>
        <w:t>n</w:t>
      </w:r>
      <w:r w:rsidR="00F36CAF" w:rsidRPr="00B425BD">
        <w:rPr>
          <w:rFonts w:cstheme="minorHAnsi"/>
          <w:sz w:val="24"/>
          <w:szCs w:val="24"/>
        </w:rPr>
        <w:t>o</w:t>
      </w:r>
      <w:r w:rsidR="00534D3C" w:rsidRPr="00B425BD">
        <w:rPr>
          <w:rFonts w:cstheme="minorHAnsi"/>
          <w:sz w:val="24"/>
          <w:szCs w:val="24"/>
        </w:rPr>
        <w:t xml:space="preserve">t as important in his mind as to whether the item rested on </w:t>
      </w:r>
      <w:r w:rsidR="00F36CAF" w:rsidRPr="00B425BD">
        <w:rPr>
          <w:rFonts w:cstheme="minorHAnsi"/>
          <w:sz w:val="24"/>
          <w:szCs w:val="24"/>
        </w:rPr>
        <w:t>its</w:t>
      </w:r>
      <w:r w:rsidR="00534D3C" w:rsidRPr="00B425BD">
        <w:rPr>
          <w:rFonts w:cstheme="minorHAnsi"/>
          <w:sz w:val="24"/>
          <w:szCs w:val="24"/>
        </w:rPr>
        <w:t xml:space="preserve"> own weight but rather </w:t>
      </w:r>
      <w:r w:rsidR="00F36CAF" w:rsidRPr="00B425BD">
        <w:rPr>
          <w:rFonts w:cstheme="minorHAnsi"/>
          <w:sz w:val="24"/>
          <w:szCs w:val="24"/>
        </w:rPr>
        <w:t xml:space="preserve">to </w:t>
      </w:r>
      <w:r w:rsidR="00534D3C" w:rsidRPr="00B425BD">
        <w:rPr>
          <w:rFonts w:cstheme="minorHAnsi"/>
          <w:sz w:val="24"/>
          <w:szCs w:val="24"/>
        </w:rPr>
        <w:t xml:space="preserve">look at whether it was part of the overall design of the property as opposed to simply being ornamentally added after the property was established. </w:t>
      </w:r>
      <w:r w:rsidR="0018794C" w:rsidRPr="00B425BD">
        <w:rPr>
          <w:rFonts w:cstheme="minorHAnsi"/>
          <w:sz w:val="24"/>
          <w:szCs w:val="24"/>
        </w:rPr>
        <w:t xml:space="preserve">Contrast this with the decision in </w:t>
      </w:r>
      <w:r w:rsidR="0018794C" w:rsidRPr="00B425BD">
        <w:rPr>
          <w:rFonts w:cstheme="minorHAnsi"/>
          <w:i/>
          <w:iCs/>
          <w:sz w:val="24"/>
          <w:szCs w:val="24"/>
        </w:rPr>
        <w:t xml:space="preserve">Leigh v Taylor </w:t>
      </w:r>
      <w:r w:rsidR="0018794C" w:rsidRPr="00B425BD">
        <w:rPr>
          <w:rFonts w:cstheme="minorHAnsi"/>
          <w:sz w:val="24"/>
          <w:szCs w:val="24"/>
        </w:rPr>
        <w:t>in 1902</w:t>
      </w:r>
      <w:r w:rsidR="00F36CAF" w:rsidRPr="00B425BD">
        <w:rPr>
          <w:rFonts w:cstheme="minorHAnsi"/>
          <w:sz w:val="24"/>
          <w:szCs w:val="24"/>
        </w:rPr>
        <w:t>,</w:t>
      </w:r>
      <w:r w:rsidR="0018794C" w:rsidRPr="00B425BD">
        <w:rPr>
          <w:rFonts w:cstheme="minorHAnsi"/>
          <w:sz w:val="24"/>
          <w:szCs w:val="24"/>
        </w:rPr>
        <w:t xml:space="preserve"> where tapestries were held to be chattels as they were added </w:t>
      </w:r>
      <w:r w:rsidR="00475407" w:rsidRPr="00B425BD">
        <w:rPr>
          <w:rFonts w:cstheme="minorHAnsi"/>
          <w:sz w:val="24"/>
          <w:szCs w:val="24"/>
        </w:rPr>
        <w:t>using</w:t>
      </w:r>
      <w:r w:rsidR="0018794C" w:rsidRPr="00B425BD">
        <w:rPr>
          <w:rFonts w:cstheme="minorHAnsi"/>
          <w:sz w:val="24"/>
          <w:szCs w:val="24"/>
        </w:rPr>
        <w:t xml:space="preserve"> nails and could be removed reasonably easily</w:t>
      </w:r>
      <w:r w:rsidR="00475407" w:rsidRPr="00B425BD">
        <w:rPr>
          <w:rFonts w:cstheme="minorHAnsi"/>
          <w:sz w:val="24"/>
          <w:szCs w:val="24"/>
        </w:rPr>
        <w:t>,</w:t>
      </w:r>
      <w:r w:rsidR="0018794C" w:rsidRPr="00B425BD">
        <w:rPr>
          <w:rFonts w:cstheme="minorHAnsi"/>
          <w:sz w:val="24"/>
          <w:szCs w:val="24"/>
        </w:rPr>
        <w:t xml:space="preserve"> indicating that there was never really an intention for them to remain with the property. </w:t>
      </w:r>
    </w:p>
    <w:p w14:paraId="61BFD01B" w14:textId="3D139C84" w:rsidR="003F0EC0" w:rsidRPr="00B425BD" w:rsidRDefault="0018794C" w:rsidP="00E37245">
      <w:pPr>
        <w:spacing w:line="480" w:lineRule="auto"/>
        <w:jc w:val="both"/>
        <w:rPr>
          <w:rFonts w:cstheme="minorHAnsi"/>
          <w:sz w:val="24"/>
          <w:szCs w:val="24"/>
        </w:rPr>
      </w:pPr>
      <w:r w:rsidRPr="00B425BD">
        <w:rPr>
          <w:rFonts w:cstheme="minorHAnsi"/>
          <w:sz w:val="24"/>
          <w:szCs w:val="24"/>
        </w:rPr>
        <w:t xml:space="preserve">A further important case to consider in the determination of whether an item is a </w:t>
      </w:r>
      <w:r w:rsidR="006F6D9F" w:rsidRPr="00E37245">
        <w:rPr>
          <w:rFonts w:cstheme="minorHAnsi"/>
          <w:sz w:val="24"/>
          <w:szCs w:val="24"/>
        </w:rPr>
        <w:t>chattel,</w:t>
      </w:r>
      <w:r w:rsidRPr="00B425BD">
        <w:rPr>
          <w:rFonts w:cstheme="minorHAnsi"/>
          <w:sz w:val="24"/>
          <w:szCs w:val="24"/>
        </w:rPr>
        <w:t xml:space="preserve"> or a fixture is that of </w:t>
      </w:r>
      <w:r w:rsidRPr="00B425BD">
        <w:rPr>
          <w:rFonts w:cstheme="minorHAnsi"/>
          <w:i/>
          <w:iCs/>
          <w:sz w:val="24"/>
          <w:szCs w:val="24"/>
        </w:rPr>
        <w:t xml:space="preserve">Botham v TSB Bank </w:t>
      </w:r>
      <w:r w:rsidRPr="00B425BD">
        <w:rPr>
          <w:rFonts w:cstheme="minorHAnsi"/>
          <w:sz w:val="24"/>
          <w:szCs w:val="24"/>
        </w:rPr>
        <w:t>in 1996. In this case</w:t>
      </w:r>
      <w:r w:rsidR="00475407" w:rsidRPr="00B425BD">
        <w:rPr>
          <w:rFonts w:cstheme="minorHAnsi"/>
          <w:sz w:val="24"/>
          <w:szCs w:val="24"/>
        </w:rPr>
        <w:t>,</w:t>
      </w:r>
      <w:r w:rsidRPr="00B425BD">
        <w:rPr>
          <w:rFonts w:cstheme="minorHAnsi"/>
          <w:sz w:val="24"/>
          <w:szCs w:val="24"/>
        </w:rPr>
        <w:t xml:space="preserve"> the Bothams</w:t>
      </w:r>
      <w:r w:rsidR="00475407" w:rsidRPr="00B425BD">
        <w:rPr>
          <w:rFonts w:cstheme="minorHAnsi"/>
          <w:sz w:val="24"/>
          <w:szCs w:val="24"/>
        </w:rPr>
        <w:t>’</w:t>
      </w:r>
      <w:r w:rsidRPr="00B425BD">
        <w:rPr>
          <w:rFonts w:cstheme="minorHAnsi"/>
          <w:sz w:val="24"/>
          <w:szCs w:val="24"/>
        </w:rPr>
        <w:t xml:space="preserve"> property </w:t>
      </w:r>
      <w:r w:rsidR="00475407" w:rsidRPr="00B425BD">
        <w:rPr>
          <w:rFonts w:cstheme="minorHAnsi"/>
          <w:sz w:val="24"/>
          <w:szCs w:val="24"/>
        </w:rPr>
        <w:t xml:space="preserve">was </w:t>
      </w:r>
      <w:r w:rsidR="004506A0" w:rsidRPr="00B425BD">
        <w:rPr>
          <w:rFonts w:cstheme="minorHAnsi"/>
          <w:sz w:val="24"/>
          <w:szCs w:val="24"/>
        </w:rPr>
        <w:t>repossessed</w:t>
      </w:r>
      <w:r w:rsidRPr="00B425BD">
        <w:rPr>
          <w:rFonts w:cstheme="minorHAnsi"/>
          <w:sz w:val="24"/>
          <w:szCs w:val="24"/>
        </w:rPr>
        <w:t xml:space="preserve"> by the mortgage </w:t>
      </w:r>
      <w:r w:rsidR="006F6D9F" w:rsidRPr="00E37245">
        <w:rPr>
          <w:rFonts w:cstheme="minorHAnsi"/>
          <w:sz w:val="24"/>
          <w:szCs w:val="24"/>
        </w:rPr>
        <w:t>company,</w:t>
      </w:r>
      <w:r w:rsidRPr="00B425BD">
        <w:rPr>
          <w:rFonts w:cstheme="minorHAnsi"/>
          <w:sz w:val="24"/>
          <w:szCs w:val="24"/>
        </w:rPr>
        <w:t xml:space="preserve"> but </w:t>
      </w:r>
      <w:r w:rsidR="00475407" w:rsidRPr="00B425BD">
        <w:rPr>
          <w:rFonts w:cstheme="minorHAnsi"/>
          <w:sz w:val="24"/>
          <w:szCs w:val="24"/>
        </w:rPr>
        <w:t xml:space="preserve">they </w:t>
      </w:r>
      <w:r w:rsidRPr="00B425BD">
        <w:rPr>
          <w:rFonts w:cstheme="minorHAnsi"/>
          <w:sz w:val="24"/>
          <w:szCs w:val="24"/>
        </w:rPr>
        <w:t xml:space="preserve">had taken several items out of the property prior to the </w:t>
      </w:r>
      <w:r w:rsidR="00475407" w:rsidRPr="00B425BD">
        <w:rPr>
          <w:rFonts w:cstheme="minorHAnsi"/>
          <w:sz w:val="24"/>
          <w:szCs w:val="24"/>
        </w:rPr>
        <w:t>re</w:t>
      </w:r>
      <w:r w:rsidRPr="00B425BD">
        <w:rPr>
          <w:rFonts w:cstheme="minorHAnsi"/>
          <w:sz w:val="24"/>
          <w:szCs w:val="24"/>
        </w:rPr>
        <w:t>possession</w:t>
      </w:r>
      <w:r w:rsidR="00475407" w:rsidRPr="00B425BD">
        <w:rPr>
          <w:rFonts w:cstheme="minorHAnsi"/>
          <w:sz w:val="24"/>
          <w:szCs w:val="24"/>
        </w:rPr>
        <w:t>,</w:t>
      </w:r>
      <w:r w:rsidR="004506A0" w:rsidRPr="00B425BD">
        <w:rPr>
          <w:rFonts w:cstheme="minorHAnsi"/>
          <w:sz w:val="24"/>
          <w:szCs w:val="24"/>
        </w:rPr>
        <w:t xml:space="preserve"> the bank then arguing that they had incorrectly removed fixtures. </w:t>
      </w:r>
      <w:r w:rsidR="006A02DC" w:rsidRPr="00B425BD">
        <w:rPr>
          <w:rFonts w:cstheme="minorHAnsi"/>
          <w:sz w:val="24"/>
          <w:szCs w:val="24"/>
        </w:rPr>
        <w:t xml:space="preserve">It was held in this case that the kitchen sink and units were fixtures, as were the fittings in the </w:t>
      </w:r>
      <w:r w:rsidR="006A02DC" w:rsidRPr="00B425BD">
        <w:rPr>
          <w:rFonts w:cstheme="minorHAnsi"/>
          <w:sz w:val="24"/>
          <w:szCs w:val="24"/>
        </w:rPr>
        <w:lastRenderedPageBreak/>
        <w:t xml:space="preserve">bathroom such as the bath and toilet. </w:t>
      </w:r>
      <w:r w:rsidR="00475407" w:rsidRPr="00B425BD">
        <w:rPr>
          <w:rFonts w:cstheme="minorHAnsi"/>
          <w:sz w:val="24"/>
          <w:szCs w:val="24"/>
        </w:rPr>
        <w:t>A</w:t>
      </w:r>
      <w:r w:rsidR="006A02DC" w:rsidRPr="00B425BD">
        <w:rPr>
          <w:rFonts w:cstheme="minorHAnsi"/>
          <w:sz w:val="24"/>
          <w:szCs w:val="24"/>
        </w:rPr>
        <w:t xml:space="preserve">ppliances such as washing machines and cookers were to be considered chattels. </w:t>
      </w:r>
    </w:p>
    <w:p w14:paraId="169F902D" w14:textId="77777777" w:rsidR="004E18AC" w:rsidRPr="00B425BD" w:rsidRDefault="004E18AC" w:rsidP="00E37245">
      <w:pPr>
        <w:spacing w:line="480" w:lineRule="auto"/>
        <w:jc w:val="both"/>
        <w:rPr>
          <w:rFonts w:cstheme="minorHAnsi"/>
          <w:sz w:val="24"/>
          <w:szCs w:val="24"/>
        </w:rPr>
      </w:pPr>
      <w:r w:rsidRPr="00B425BD">
        <w:rPr>
          <w:rFonts w:cstheme="minorHAnsi"/>
          <w:sz w:val="24"/>
          <w:szCs w:val="24"/>
        </w:rPr>
        <w:t xml:space="preserve">Looking at the case law above, it is a consistent theme that where the items are an inherent part of the design and structure of the property they should be viewed as fixtures. Applying the approach taken in the case of </w:t>
      </w:r>
      <w:r w:rsidRPr="00B425BD">
        <w:rPr>
          <w:rFonts w:cstheme="minorHAnsi"/>
          <w:iCs/>
          <w:sz w:val="24"/>
          <w:szCs w:val="24"/>
        </w:rPr>
        <w:t>D’Eyncourt</w:t>
      </w:r>
      <w:r w:rsidRPr="00B425BD">
        <w:rPr>
          <w:rFonts w:cstheme="minorHAnsi"/>
          <w:sz w:val="24"/>
          <w:szCs w:val="24"/>
        </w:rPr>
        <w:t>, seats and items within the garden are held to be fixtures as they are part of the essence and the character of the property. It is noted in this case that the seat was part of a cottage garden, and although it is only on its own weight, it has sunk into the ground and is part of the landscaping of the property.</w:t>
      </w:r>
    </w:p>
    <w:p w14:paraId="026AC533" w14:textId="77777777" w:rsidR="004E18AC" w:rsidRPr="00B425BD" w:rsidRDefault="004E18AC" w:rsidP="00E37245">
      <w:pPr>
        <w:spacing w:line="480" w:lineRule="auto"/>
        <w:jc w:val="both"/>
        <w:rPr>
          <w:rFonts w:cstheme="minorHAnsi"/>
          <w:sz w:val="24"/>
          <w:szCs w:val="24"/>
        </w:rPr>
      </w:pPr>
      <w:r w:rsidRPr="00B425BD">
        <w:rPr>
          <w:rFonts w:cstheme="minorHAnsi"/>
          <w:sz w:val="24"/>
          <w:szCs w:val="24"/>
        </w:rPr>
        <w:t xml:space="preserve">Similarly, applying the above to the kitchen units, although they are not annexed to the land, the fundamental purpose of kitchen units would be to enhance the value of the land and not for the enjoyment of the chattel itself. Furthermore, case law has determined that kitchen units as per </w:t>
      </w:r>
      <w:r w:rsidRPr="00B425BD">
        <w:rPr>
          <w:rFonts w:cstheme="minorHAnsi"/>
          <w:iCs/>
          <w:sz w:val="24"/>
          <w:szCs w:val="24"/>
        </w:rPr>
        <w:t>Botham</w:t>
      </w:r>
      <w:r w:rsidRPr="00B425BD">
        <w:rPr>
          <w:rFonts w:cstheme="minorHAnsi"/>
          <w:sz w:val="24"/>
          <w:szCs w:val="24"/>
        </w:rPr>
        <w:t xml:space="preserve"> are to be deemed fixtures notwithstanding the fact that they are not bolted or affixed to the wall</w:t>
      </w:r>
    </w:p>
    <w:p w14:paraId="551BE781" w14:textId="77777777" w:rsidR="004E18AC" w:rsidRPr="00B425BD" w:rsidRDefault="004E18AC" w:rsidP="00E37245">
      <w:pPr>
        <w:spacing w:line="480" w:lineRule="auto"/>
        <w:jc w:val="both"/>
        <w:rPr>
          <w:rFonts w:cstheme="minorHAnsi"/>
          <w:sz w:val="24"/>
          <w:szCs w:val="24"/>
        </w:rPr>
      </w:pPr>
    </w:p>
    <w:p w14:paraId="2A8D1FA0" w14:textId="1D9A77A8" w:rsidR="004E18AC" w:rsidRPr="00B425BD" w:rsidRDefault="00E276A3" w:rsidP="00E37245">
      <w:pPr>
        <w:spacing w:line="480" w:lineRule="auto"/>
        <w:jc w:val="both"/>
        <w:rPr>
          <w:rFonts w:cstheme="minorHAnsi"/>
          <w:sz w:val="24"/>
          <w:szCs w:val="24"/>
        </w:rPr>
      </w:pPr>
      <w:r w:rsidRPr="00B425BD">
        <w:rPr>
          <w:rFonts w:cstheme="minorHAnsi"/>
          <w:sz w:val="24"/>
          <w:szCs w:val="24"/>
        </w:rPr>
        <w:t xml:space="preserve">Interestingly, the intention of the parties from a subjective point of view will have no impact on the determination of whether the item is a chattel or fixture. An illustration of this point can be seen in the case of </w:t>
      </w:r>
      <w:r w:rsidRPr="00B425BD">
        <w:rPr>
          <w:rFonts w:cstheme="minorHAnsi"/>
          <w:i/>
          <w:iCs/>
          <w:sz w:val="24"/>
          <w:szCs w:val="24"/>
        </w:rPr>
        <w:t xml:space="preserve">Elitestone v Morris </w:t>
      </w:r>
      <w:r w:rsidRPr="00B425BD">
        <w:rPr>
          <w:rFonts w:cstheme="minorHAnsi"/>
          <w:sz w:val="24"/>
          <w:szCs w:val="24"/>
        </w:rPr>
        <w:t>in 1997</w:t>
      </w:r>
      <w:r w:rsidR="00475407" w:rsidRPr="00B425BD">
        <w:rPr>
          <w:rFonts w:cstheme="minorHAnsi"/>
          <w:sz w:val="24"/>
          <w:szCs w:val="24"/>
        </w:rPr>
        <w:t>,</w:t>
      </w:r>
      <w:r w:rsidRPr="00B425BD">
        <w:rPr>
          <w:rFonts w:cstheme="minorHAnsi"/>
          <w:sz w:val="24"/>
          <w:szCs w:val="24"/>
        </w:rPr>
        <w:t xml:space="preserve"> where the claimant had purchased freehold land upon which there were 27 properties, the respondent owning one of those. It was the claimant’s wish to demolish the properties so that they could redevelop the land and they sought possession of the land from the property owners. Morris made attempts to defend this </w:t>
      </w:r>
      <w:r w:rsidR="00E126E5" w:rsidRPr="00B425BD">
        <w:rPr>
          <w:rFonts w:cstheme="minorHAnsi"/>
          <w:sz w:val="24"/>
          <w:szCs w:val="24"/>
        </w:rPr>
        <w:t xml:space="preserve">based on the provisions of the </w:t>
      </w:r>
      <w:r w:rsidR="00E126E5" w:rsidRPr="00B425BD">
        <w:rPr>
          <w:rFonts w:cstheme="minorHAnsi"/>
          <w:i/>
          <w:iCs/>
          <w:sz w:val="24"/>
          <w:szCs w:val="24"/>
        </w:rPr>
        <w:t>Rent Act 1977</w:t>
      </w:r>
      <w:r w:rsidR="00E126E5" w:rsidRPr="00B425BD">
        <w:rPr>
          <w:rFonts w:cstheme="minorHAnsi"/>
          <w:sz w:val="24"/>
          <w:szCs w:val="24"/>
        </w:rPr>
        <w:t xml:space="preserve"> which he would be able to rely upon if the bungalow he lived in formed part of the fixtures. The claimant argued that the bungalow was separate as it simply sat on its own weight and had not been attached. It was held here </w:t>
      </w:r>
      <w:r w:rsidR="00E126E5" w:rsidRPr="00B425BD">
        <w:rPr>
          <w:rFonts w:cstheme="minorHAnsi"/>
          <w:sz w:val="24"/>
          <w:szCs w:val="24"/>
        </w:rPr>
        <w:lastRenderedPageBreak/>
        <w:t xml:space="preserve">that the bungalow was a fixture and the </w:t>
      </w:r>
      <w:proofErr w:type="gramStart"/>
      <w:r w:rsidR="00E126E5" w:rsidRPr="00B425BD">
        <w:rPr>
          <w:rFonts w:cstheme="minorHAnsi"/>
          <w:sz w:val="24"/>
          <w:szCs w:val="24"/>
        </w:rPr>
        <w:t>common sense</w:t>
      </w:r>
      <w:proofErr w:type="gramEnd"/>
      <w:r w:rsidR="00E126E5" w:rsidRPr="00B425BD">
        <w:rPr>
          <w:rFonts w:cstheme="minorHAnsi"/>
          <w:sz w:val="24"/>
          <w:szCs w:val="24"/>
        </w:rPr>
        <w:t xml:space="preserve"> approach had to be that there was an intention for it to form part of the structure of the land</w:t>
      </w:r>
      <w:r w:rsidR="00475407" w:rsidRPr="00B425BD">
        <w:rPr>
          <w:rFonts w:cstheme="minorHAnsi"/>
          <w:sz w:val="24"/>
          <w:szCs w:val="24"/>
        </w:rPr>
        <w:t>,</w:t>
      </w:r>
      <w:r w:rsidR="00E126E5" w:rsidRPr="00B425BD">
        <w:rPr>
          <w:rFonts w:cstheme="minorHAnsi"/>
          <w:sz w:val="24"/>
          <w:szCs w:val="24"/>
        </w:rPr>
        <w:t xml:space="preserve"> regardless of whether the intention of Elitestone was different.</w:t>
      </w:r>
      <w:r w:rsidR="001E532D" w:rsidRPr="00B425BD">
        <w:rPr>
          <w:rFonts w:cstheme="minorHAnsi"/>
          <w:sz w:val="24"/>
          <w:szCs w:val="24"/>
        </w:rPr>
        <w:t xml:space="preserve"> Applying this to the summerhouse for example, it is not reasonable to presume because it is a building of sorts it will automatically be deemed a fixture.</w:t>
      </w:r>
      <w:r w:rsidR="004E18AC" w:rsidRPr="00B425BD">
        <w:rPr>
          <w:rFonts w:cstheme="minorHAnsi"/>
          <w:sz w:val="24"/>
          <w:szCs w:val="24"/>
        </w:rPr>
        <w:t xml:space="preserve"> With the additional aspect of the summerhouse being bolted onto a concrete </w:t>
      </w:r>
      <w:r w:rsidR="006F6D9F" w:rsidRPr="00E37245">
        <w:rPr>
          <w:rFonts w:cstheme="minorHAnsi"/>
          <w:sz w:val="24"/>
          <w:szCs w:val="24"/>
        </w:rPr>
        <w:t>base, it</w:t>
      </w:r>
      <w:r w:rsidR="004E18AC" w:rsidRPr="00B425BD">
        <w:rPr>
          <w:rFonts w:cstheme="minorHAnsi"/>
          <w:sz w:val="24"/>
          <w:szCs w:val="24"/>
        </w:rPr>
        <w:t xml:space="preserve"> is argued here that the summerhouse would likely be viewed as a fixture. In particular, the case of </w:t>
      </w:r>
      <w:r w:rsidR="004E18AC" w:rsidRPr="00B425BD">
        <w:rPr>
          <w:rFonts w:cstheme="minorHAnsi"/>
          <w:i/>
          <w:iCs/>
          <w:sz w:val="24"/>
          <w:szCs w:val="24"/>
        </w:rPr>
        <w:t xml:space="preserve">Elitestone </w:t>
      </w:r>
      <w:r w:rsidR="004E18AC" w:rsidRPr="00B425BD">
        <w:rPr>
          <w:rFonts w:cstheme="minorHAnsi"/>
          <w:sz w:val="24"/>
          <w:szCs w:val="24"/>
        </w:rPr>
        <w:t>is referred to here, and the argument that the summerhouse could not realistically be expected to exist separately from the land. It is also argued that it is an inherent part of the cottage style and is on the land to add value to the land rather than as a means of enjoying the summerhouse itself.</w:t>
      </w:r>
    </w:p>
    <w:p w14:paraId="03030CDA" w14:textId="77777777" w:rsidR="00E276A3" w:rsidRPr="00B425BD" w:rsidRDefault="00E276A3" w:rsidP="00E37245">
      <w:pPr>
        <w:spacing w:line="480" w:lineRule="auto"/>
        <w:jc w:val="both"/>
        <w:rPr>
          <w:rFonts w:cstheme="minorHAnsi"/>
          <w:sz w:val="24"/>
          <w:szCs w:val="24"/>
        </w:rPr>
      </w:pPr>
    </w:p>
    <w:p w14:paraId="2710C4DD" w14:textId="77777777" w:rsidR="00E126E5" w:rsidRPr="00B425BD" w:rsidRDefault="0078463C" w:rsidP="00E37245">
      <w:pPr>
        <w:spacing w:line="480" w:lineRule="auto"/>
        <w:jc w:val="both"/>
        <w:rPr>
          <w:rFonts w:cstheme="minorHAnsi"/>
          <w:sz w:val="24"/>
          <w:szCs w:val="24"/>
        </w:rPr>
      </w:pPr>
      <w:r w:rsidRPr="00B425BD">
        <w:rPr>
          <w:rFonts w:cstheme="minorHAnsi"/>
          <w:sz w:val="24"/>
          <w:szCs w:val="24"/>
        </w:rPr>
        <w:t>Where chattels rest on land</w:t>
      </w:r>
      <w:r w:rsidR="00475407" w:rsidRPr="00B425BD">
        <w:rPr>
          <w:rFonts w:cstheme="minorHAnsi"/>
          <w:sz w:val="24"/>
          <w:szCs w:val="24"/>
        </w:rPr>
        <w:t>,</w:t>
      </w:r>
      <w:r w:rsidRPr="00B425BD">
        <w:rPr>
          <w:rFonts w:cstheme="minorHAnsi"/>
          <w:sz w:val="24"/>
          <w:szCs w:val="24"/>
        </w:rPr>
        <w:t xml:space="preserve"> additional complications may arise. A primary case of this was seen in </w:t>
      </w:r>
      <w:r w:rsidRPr="00B425BD">
        <w:rPr>
          <w:rFonts w:cstheme="minorHAnsi"/>
          <w:i/>
          <w:iCs/>
          <w:sz w:val="24"/>
          <w:szCs w:val="24"/>
        </w:rPr>
        <w:t>Berkley v Poulett</w:t>
      </w:r>
      <w:r w:rsidRPr="00B425BD">
        <w:rPr>
          <w:rFonts w:cstheme="minorHAnsi"/>
          <w:sz w:val="24"/>
          <w:szCs w:val="24"/>
        </w:rPr>
        <w:t xml:space="preserve"> in 1976. In this case</w:t>
      </w:r>
      <w:r w:rsidR="00475407" w:rsidRPr="00B425BD">
        <w:rPr>
          <w:rFonts w:cstheme="minorHAnsi"/>
          <w:sz w:val="24"/>
          <w:szCs w:val="24"/>
        </w:rPr>
        <w:t>,</w:t>
      </w:r>
      <w:r w:rsidRPr="00B425BD">
        <w:rPr>
          <w:rFonts w:cstheme="minorHAnsi"/>
          <w:sz w:val="24"/>
          <w:szCs w:val="24"/>
        </w:rPr>
        <w:t xml:space="preserve"> Poulett had sold a large estate by auction and the purchasing company sold a smaller portion of the estate on to Berkley. It was the intention of Berkley that the property should become a tourist attraction</w:t>
      </w:r>
      <w:r w:rsidR="00475407" w:rsidRPr="00B425BD">
        <w:rPr>
          <w:rFonts w:cstheme="minorHAnsi"/>
          <w:sz w:val="24"/>
          <w:szCs w:val="24"/>
        </w:rPr>
        <w:t>,</w:t>
      </w:r>
      <w:r w:rsidRPr="00B425BD">
        <w:rPr>
          <w:rFonts w:cstheme="minorHAnsi"/>
          <w:sz w:val="24"/>
          <w:szCs w:val="24"/>
        </w:rPr>
        <w:t xml:space="preserve"> and therefore it was important that o</w:t>
      </w:r>
      <w:r w:rsidR="00706E9A" w:rsidRPr="00B425BD">
        <w:rPr>
          <w:rFonts w:cstheme="minorHAnsi"/>
          <w:sz w:val="24"/>
          <w:szCs w:val="24"/>
        </w:rPr>
        <w:t>riginal features were preserved as far as possible. There was a time gap between August and November within which the company had sold several of the items that were on the property</w:t>
      </w:r>
      <w:r w:rsidR="00475407" w:rsidRPr="00B425BD">
        <w:rPr>
          <w:rFonts w:cstheme="minorHAnsi"/>
          <w:sz w:val="24"/>
          <w:szCs w:val="24"/>
        </w:rPr>
        <w:t>,</w:t>
      </w:r>
      <w:r w:rsidR="00706E9A" w:rsidRPr="00B425BD">
        <w:rPr>
          <w:rFonts w:cstheme="minorHAnsi"/>
          <w:sz w:val="24"/>
          <w:szCs w:val="24"/>
        </w:rPr>
        <w:t xml:space="preserve"> claiming the</w:t>
      </w:r>
      <w:r w:rsidR="00475407" w:rsidRPr="00B425BD">
        <w:rPr>
          <w:rFonts w:cstheme="minorHAnsi"/>
          <w:sz w:val="24"/>
          <w:szCs w:val="24"/>
        </w:rPr>
        <w:t>y</w:t>
      </w:r>
      <w:r w:rsidR="00706E9A" w:rsidRPr="00B425BD">
        <w:rPr>
          <w:rFonts w:cstheme="minorHAnsi"/>
          <w:sz w:val="24"/>
          <w:szCs w:val="24"/>
        </w:rPr>
        <w:t xml:space="preserve"> </w:t>
      </w:r>
      <w:r w:rsidR="00475407" w:rsidRPr="00B425BD">
        <w:rPr>
          <w:rFonts w:cstheme="minorHAnsi"/>
          <w:sz w:val="24"/>
          <w:szCs w:val="24"/>
        </w:rPr>
        <w:t>were</w:t>
      </w:r>
      <w:r w:rsidR="00706E9A" w:rsidRPr="00B425BD">
        <w:rPr>
          <w:rFonts w:cstheme="minorHAnsi"/>
          <w:sz w:val="24"/>
          <w:szCs w:val="24"/>
        </w:rPr>
        <w:t xml:space="preserve"> chattels, whereas Berkley claimed they were fixtures and should have remained </w:t>
      </w:r>
      <w:r w:rsidR="00580DFA" w:rsidRPr="00B425BD">
        <w:rPr>
          <w:rFonts w:cstheme="minorHAnsi"/>
          <w:sz w:val="24"/>
          <w:szCs w:val="24"/>
        </w:rPr>
        <w:t>with the</w:t>
      </w:r>
      <w:r w:rsidR="00706E9A" w:rsidRPr="00B425BD">
        <w:rPr>
          <w:rFonts w:cstheme="minorHAnsi"/>
          <w:sz w:val="24"/>
          <w:szCs w:val="24"/>
        </w:rPr>
        <w:t xml:space="preserve"> land. The items in question included several paintings which had been set into the panelling of the property</w:t>
      </w:r>
      <w:r w:rsidR="00475407" w:rsidRPr="00B425BD">
        <w:rPr>
          <w:rFonts w:cstheme="minorHAnsi"/>
          <w:sz w:val="24"/>
          <w:szCs w:val="24"/>
        </w:rPr>
        <w:t>;</w:t>
      </w:r>
      <w:r w:rsidR="00B70776" w:rsidRPr="00B425BD">
        <w:rPr>
          <w:rFonts w:cstheme="minorHAnsi"/>
          <w:sz w:val="24"/>
          <w:szCs w:val="24"/>
        </w:rPr>
        <w:t xml:space="preserve"> there was also a statue which weighed a considerable amount</w:t>
      </w:r>
      <w:r w:rsidR="00475407" w:rsidRPr="00B425BD">
        <w:rPr>
          <w:rFonts w:cstheme="minorHAnsi"/>
          <w:sz w:val="24"/>
          <w:szCs w:val="24"/>
        </w:rPr>
        <w:t>,</w:t>
      </w:r>
      <w:r w:rsidR="00B70776" w:rsidRPr="00B425BD">
        <w:rPr>
          <w:rFonts w:cstheme="minorHAnsi"/>
          <w:sz w:val="24"/>
          <w:szCs w:val="24"/>
        </w:rPr>
        <w:t xml:space="preserve"> although it was resting on its own weight</w:t>
      </w:r>
      <w:r w:rsidR="00475407" w:rsidRPr="00B425BD">
        <w:rPr>
          <w:rFonts w:cstheme="minorHAnsi"/>
          <w:sz w:val="24"/>
          <w:szCs w:val="24"/>
        </w:rPr>
        <w:t>,</w:t>
      </w:r>
      <w:r w:rsidR="00B70776" w:rsidRPr="00B425BD">
        <w:rPr>
          <w:rFonts w:cstheme="minorHAnsi"/>
          <w:sz w:val="24"/>
          <w:szCs w:val="24"/>
        </w:rPr>
        <w:t xml:space="preserve"> and there was a large sundial, again on its own weight. It was held here that the object of the annexation should be given considerabl</w:t>
      </w:r>
      <w:r w:rsidR="00475407" w:rsidRPr="00B425BD">
        <w:rPr>
          <w:rFonts w:cstheme="minorHAnsi"/>
          <w:sz w:val="24"/>
          <w:szCs w:val="24"/>
        </w:rPr>
        <w:t>y</w:t>
      </w:r>
      <w:r w:rsidR="00B70776" w:rsidRPr="00B425BD">
        <w:rPr>
          <w:rFonts w:cstheme="minorHAnsi"/>
          <w:sz w:val="24"/>
          <w:szCs w:val="24"/>
        </w:rPr>
        <w:t xml:space="preserve"> more importance than the actual amount of annexation. For </w:t>
      </w:r>
      <w:r w:rsidR="00B70776" w:rsidRPr="00B425BD">
        <w:rPr>
          <w:rFonts w:cstheme="minorHAnsi"/>
          <w:sz w:val="24"/>
          <w:szCs w:val="24"/>
        </w:rPr>
        <w:lastRenderedPageBreak/>
        <w:t>example</w:t>
      </w:r>
      <w:r w:rsidR="00475407" w:rsidRPr="00B425BD">
        <w:rPr>
          <w:rFonts w:cstheme="minorHAnsi"/>
          <w:sz w:val="24"/>
          <w:szCs w:val="24"/>
        </w:rPr>
        <w:t>,</w:t>
      </w:r>
      <w:r w:rsidR="00B70776" w:rsidRPr="00B425BD">
        <w:rPr>
          <w:rFonts w:cstheme="minorHAnsi"/>
          <w:sz w:val="24"/>
          <w:szCs w:val="24"/>
        </w:rPr>
        <w:t xml:space="preserve"> here the paintings were only fixed onto the walls </w:t>
      </w:r>
      <w:proofErr w:type="gramStart"/>
      <w:r w:rsidR="00B70776" w:rsidRPr="00B425BD">
        <w:rPr>
          <w:rFonts w:cstheme="minorHAnsi"/>
          <w:sz w:val="24"/>
          <w:szCs w:val="24"/>
        </w:rPr>
        <w:t>in order to</w:t>
      </w:r>
      <w:proofErr w:type="gramEnd"/>
      <w:r w:rsidR="00B70776" w:rsidRPr="00B425BD">
        <w:rPr>
          <w:rFonts w:cstheme="minorHAnsi"/>
          <w:sz w:val="24"/>
          <w:szCs w:val="24"/>
        </w:rPr>
        <w:t xml:space="preserve"> provide enjoyment and make it easier to view them. Where items are simply placed to allow for their enjoyment</w:t>
      </w:r>
      <w:r w:rsidR="00475407" w:rsidRPr="00B425BD">
        <w:rPr>
          <w:rFonts w:cstheme="minorHAnsi"/>
          <w:sz w:val="24"/>
          <w:szCs w:val="24"/>
        </w:rPr>
        <w:t>,</w:t>
      </w:r>
      <w:r w:rsidR="00B70776" w:rsidRPr="00B425BD">
        <w:rPr>
          <w:rFonts w:cstheme="minorHAnsi"/>
          <w:sz w:val="24"/>
          <w:szCs w:val="24"/>
        </w:rPr>
        <w:t xml:space="preserve"> this does not then automatically create a fixture. It was held here that all items were chattels.</w:t>
      </w:r>
      <w:r w:rsidR="004E18AC" w:rsidRPr="00B425BD">
        <w:rPr>
          <w:rFonts w:cstheme="minorHAnsi"/>
          <w:sz w:val="24"/>
          <w:szCs w:val="24"/>
        </w:rPr>
        <w:t xml:space="preserve"> These tests are to be applied below but are relevant to the determination of the status of items such as the statue and terracotta pots in determining whether the items are decorative or functional.</w:t>
      </w:r>
    </w:p>
    <w:p w14:paraId="495D1892" w14:textId="77777777" w:rsidR="004E18AC" w:rsidRPr="00B425BD" w:rsidRDefault="004E18AC" w:rsidP="00E37245">
      <w:pPr>
        <w:spacing w:line="480" w:lineRule="auto"/>
        <w:jc w:val="both"/>
        <w:rPr>
          <w:rFonts w:cstheme="minorHAnsi"/>
          <w:sz w:val="24"/>
          <w:szCs w:val="24"/>
        </w:rPr>
      </w:pPr>
      <w:r w:rsidRPr="00B425BD">
        <w:rPr>
          <w:rFonts w:cstheme="minorHAnsi"/>
          <w:sz w:val="24"/>
          <w:szCs w:val="24"/>
        </w:rPr>
        <w:t xml:space="preserve">Applying a similar analysis to that above to the case of the terracotta pots, it is argued that the plants were placed in pots on the land </w:t>
      </w:r>
      <w:proofErr w:type="gramStart"/>
      <w:r w:rsidRPr="00B425BD">
        <w:rPr>
          <w:rFonts w:cstheme="minorHAnsi"/>
          <w:sz w:val="24"/>
          <w:szCs w:val="24"/>
        </w:rPr>
        <w:t>in order to</w:t>
      </w:r>
      <w:proofErr w:type="gramEnd"/>
      <w:r w:rsidRPr="00B425BD">
        <w:rPr>
          <w:rFonts w:cstheme="minorHAnsi"/>
          <w:sz w:val="24"/>
          <w:szCs w:val="24"/>
        </w:rPr>
        <w:t xml:space="preserve"> enjoy the plants and not as a means of improving the value of the land. There is some argument that as ivy has grown up from the ground and is therefore part of the land, it is likely, on balance, that the pots would </w:t>
      </w:r>
      <w:proofErr w:type="gramStart"/>
      <w:r w:rsidRPr="00B425BD">
        <w:rPr>
          <w:rFonts w:cstheme="minorHAnsi"/>
          <w:sz w:val="24"/>
          <w:szCs w:val="24"/>
        </w:rPr>
        <w:t>be considered to be</w:t>
      </w:r>
      <w:proofErr w:type="gramEnd"/>
      <w:r w:rsidRPr="00B425BD">
        <w:rPr>
          <w:rFonts w:cstheme="minorHAnsi"/>
          <w:sz w:val="24"/>
          <w:szCs w:val="24"/>
        </w:rPr>
        <w:t xml:space="preserve"> fittings with the ivy pot being a fixture, as it has become inherently annexed to the land and, with the same ethos as </w:t>
      </w:r>
      <w:r w:rsidRPr="00B425BD">
        <w:rPr>
          <w:rFonts w:cstheme="minorHAnsi"/>
          <w:i/>
          <w:iCs/>
          <w:sz w:val="24"/>
          <w:szCs w:val="24"/>
        </w:rPr>
        <w:t>Elitestone</w:t>
      </w:r>
      <w:r w:rsidRPr="00B425BD">
        <w:rPr>
          <w:rFonts w:cstheme="minorHAnsi"/>
          <w:sz w:val="24"/>
          <w:szCs w:val="24"/>
        </w:rPr>
        <w:t xml:space="preserve">, would likely be unmoveable. </w:t>
      </w:r>
    </w:p>
    <w:p w14:paraId="1384720F" w14:textId="77777777" w:rsidR="006A02DC" w:rsidRPr="00B425BD" w:rsidRDefault="00B70776" w:rsidP="00E37245">
      <w:pPr>
        <w:spacing w:line="480" w:lineRule="auto"/>
        <w:jc w:val="both"/>
        <w:rPr>
          <w:rFonts w:cstheme="minorHAnsi"/>
          <w:sz w:val="24"/>
          <w:szCs w:val="24"/>
        </w:rPr>
      </w:pPr>
      <w:r w:rsidRPr="00B425BD">
        <w:rPr>
          <w:rFonts w:cstheme="minorHAnsi"/>
          <w:sz w:val="24"/>
          <w:szCs w:val="24"/>
        </w:rPr>
        <w:t xml:space="preserve">Other cases of note for the scenario here include the decision in </w:t>
      </w:r>
      <w:r w:rsidR="00AB2BA1" w:rsidRPr="00B425BD">
        <w:rPr>
          <w:rFonts w:cstheme="minorHAnsi"/>
          <w:i/>
          <w:iCs/>
          <w:sz w:val="24"/>
          <w:szCs w:val="24"/>
        </w:rPr>
        <w:t>H</w:t>
      </w:r>
      <w:r w:rsidR="00995657" w:rsidRPr="00B425BD">
        <w:rPr>
          <w:rFonts w:cstheme="minorHAnsi"/>
          <w:i/>
          <w:iCs/>
          <w:sz w:val="24"/>
          <w:szCs w:val="24"/>
        </w:rPr>
        <w:t>.</w:t>
      </w:r>
      <w:r w:rsidR="00AB2BA1" w:rsidRPr="00B425BD">
        <w:rPr>
          <w:rFonts w:cstheme="minorHAnsi"/>
          <w:i/>
          <w:iCs/>
          <w:sz w:val="24"/>
          <w:szCs w:val="24"/>
        </w:rPr>
        <w:t xml:space="preserve"> E</w:t>
      </w:r>
      <w:r w:rsidR="00995657" w:rsidRPr="00B425BD">
        <w:rPr>
          <w:rFonts w:cstheme="minorHAnsi"/>
          <w:i/>
          <w:iCs/>
          <w:sz w:val="24"/>
          <w:szCs w:val="24"/>
        </w:rPr>
        <w:t>.</w:t>
      </w:r>
      <w:r w:rsidR="00AB2BA1" w:rsidRPr="00B425BD">
        <w:rPr>
          <w:rFonts w:cstheme="minorHAnsi"/>
          <w:i/>
          <w:iCs/>
          <w:sz w:val="24"/>
          <w:szCs w:val="24"/>
        </w:rPr>
        <w:t xml:space="preserve"> Dibble v Moore </w:t>
      </w:r>
      <w:r w:rsidR="00AB2BA1" w:rsidRPr="00B425BD">
        <w:rPr>
          <w:rFonts w:cstheme="minorHAnsi"/>
          <w:sz w:val="24"/>
          <w:szCs w:val="24"/>
        </w:rPr>
        <w:t>in 1970</w:t>
      </w:r>
      <w:r w:rsidR="00995657" w:rsidRPr="00B425BD">
        <w:rPr>
          <w:rFonts w:cstheme="minorHAnsi"/>
          <w:sz w:val="24"/>
          <w:szCs w:val="24"/>
        </w:rPr>
        <w:t>,</w:t>
      </w:r>
      <w:r w:rsidR="00AB2BA1" w:rsidRPr="00B425BD">
        <w:rPr>
          <w:rFonts w:cstheme="minorHAnsi"/>
          <w:sz w:val="24"/>
          <w:szCs w:val="24"/>
        </w:rPr>
        <w:t xml:space="preserve"> where it was held that </w:t>
      </w:r>
      <w:r w:rsidR="00995657" w:rsidRPr="00B425BD">
        <w:rPr>
          <w:rFonts w:cstheme="minorHAnsi"/>
          <w:sz w:val="24"/>
          <w:szCs w:val="24"/>
        </w:rPr>
        <w:t xml:space="preserve">the </w:t>
      </w:r>
      <w:r w:rsidR="00AB2BA1" w:rsidRPr="00B425BD">
        <w:rPr>
          <w:rFonts w:cstheme="minorHAnsi"/>
          <w:sz w:val="24"/>
          <w:szCs w:val="24"/>
        </w:rPr>
        <w:t>simpl</w:t>
      </w:r>
      <w:r w:rsidR="00995657" w:rsidRPr="00B425BD">
        <w:rPr>
          <w:rFonts w:cstheme="minorHAnsi"/>
          <w:sz w:val="24"/>
          <w:szCs w:val="24"/>
        </w:rPr>
        <w:t>e</w:t>
      </w:r>
      <w:r w:rsidR="00AB2BA1" w:rsidRPr="00B425BD">
        <w:rPr>
          <w:rFonts w:cstheme="minorHAnsi"/>
          <w:sz w:val="24"/>
          <w:szCs w:val="24"/>
        </w:rPr>
        <w:t xml:space="preserve"> </w:t>
      </w:r>
      <w:r w:rsidR="00995657" w:rsidRPr="00B425BD">
        <w:rPr>
          <w:rFonts w:cstheme="minorHAnsi"/>
          <w:sz w:val="24"/>
          <w:szCs w:val="24"/>
        </w:rPr>
        <w:t xml:space="preserve">fact that </w:t>
      </w:r>
      <w:r w:rsidR="00AB2BA1" w:rsidRPr="00B425BD">
        <w:rPr>
          <w:rFonts w:cstheme="minorHAnsi"/>
          <w:sz w:val="24"/>
          <w:szCs w:val="24"/>
        </w:rPr>
        <w:t>an item had sunk by virtue of its own weight did not render the item a fixture automatically. By contrast</w:t>
      </w:r>
      <w:r w:rsidR="00995657" w:rsidRPr="00B425BD">
        <w:rPr>
          <w:rFonts w:cstheme="minorHAnsi"/>
          <w:sz w:val="24"/>
          <w:szCs w:val="24"/>
        </w:rPr>
        <w:t>,</w:t>
      </w:r>
      <w:r w:rsidR="00AB2BA1" w:rsidRPr="00B425BD">
        <w:rPr>
          <w:rFonts w:cstheme="minorHAnsi"/>
          <w:sz w:val="24"/>
          <w:szCs w:val="24"/>
        </w:rPr>
        <w:t xml:space="preserve"> </w:t>
      </w:r>
      <w:r w:rsidR="00995657" w:rsidRPr="00B425BD">
        <w:rPr>
          <w:rFonts w:cstheme="minorHAnsi"/>
          <w:sz w:val="24"/>
          <w:szCs w:val="24"/>
        </w:rPr>
        <w:t xml:space="preserve">in </w:t>
      </w:r>
      <w:r w:rsidR="00AB2BA1" w:rsidRPr="00B425BD">
        <w:rPr>
          <w:rFonts w:cstheme="minorHAnsi"/>
          <w:i/>
          <w:iCs/>
          <w:sz w:val="24"/>
          <w:szCs w:val="24"/>
        </w:rPr>
        <w:t>Hemp v Bygrave</w:t>
      </w:r>
      <w:r w:rsidR="00AB2BA1" w:rsidRPr="00B425BD">
        <w:rPr>
          <w:rFonts w:cstheme="minorHAnsi"/>
          <w:sz w:val="24"/>
          <w:szCs w:val="24"/>
        </w:rPr>
        <w:t xml:space="preserve"> in 1982 it was held that statues were part of the fixtures </w:t>
      </w:r>
      <w:proofErr w:type="gramStart"/>
      <w:r w:rsidR="00AB2BA1" w:rsidRPr="00B425BD">
        <w:rPr>
          <w:rFonts w:cstheme="minorHAnsi"/>
          <w:sz w:val="24"/>
          <w:szCs w:val="24"/>
        </w:rPr>
        <w:t>despite the fact that</w:t>
      </w:r>
      <w:proofErr w:type="gramEnd"/>
      <w:r w:rsidR="00AB2BA1" w:rsidRPr="00B425BD">
        <w:rPr>
          <w:rFonts w:cstheme="minorHAnsi"/>
          <w:sz w:val="24"/>
          <w:szCs w:val="24"/>
        </w:rPr>
        <w:t xml:space="preserve"> they were resting on their own weight</w:t>
      </w:r>
      <w:r w:rsidR="00995657" w:rsidRPr="00B425BD">
        <w:rPr>
          <w:rFonts w:cstheme="minorHAnsi"/>
          <w:sz w:val="24"/>
          <w:szCs w:val="24"/>
        </w:rPr>
        <w:t>,</w:t>
      </w:r>
      <w:r w:rsidR="00AB2BA1" w:rsidRPr="00B425BD">
        <w:rPr>
          <w:rFonts w:cstheme="minorHAnsi"/>
          <w:sz w:val="24"/>
          <w:szCs w:val="24"/>
        </w:rPr>
        <w:t xml:space="preserve"> as they had become part of the land and were there to improve the value of the land rather than to allow </w:t>
      </w:r>
      <w:r w:rsidR="00843349" w:rsidRPr="00B425BD">
        <w:rPr>
          <w:rFonts w:cstheme="minorHAnsi"/>
          <w:sz w:val="24"/>
          <w:szCs w:val="24"/>
        </w:rPr>
        <w:t xml:space="preserve">for the enjoyment of the chattels themselves. </w:t>
      </w:r>
    </w:p>
    <w:p w14:paraId="5B1854D5" w14:textId="77777777" w:rsidR="004E18AC" w:rsidRPr="00B425BD" w:rsidRDefault="004E18AC" w:rsidP="00E37245">
      <w:pPr>
        <w:spacing w:line="480" w:lineRule="auto"/>
        <w:jc w:val="both"/>
        <w:rPr>
          <w:rFonts w:cstheme="minorHAnsi"/>
          <w:sz w:val="24"/>
          <w:szCs w:val="24"/>
        </w:rPr>
      </w:pPr>
      <w:r w:rsidRPr="00B425BD">
        <w:rPr>
          <w:rFonts w:cstheme="minorHAnsi"/>
          <w:sz w:val="24"/>
          <w:szCs w:val="24"/>
        </w:rPr>
        <w:t xml:space="preserve">In the case of the statue, it is noted that case law has not been consistent in the determination of a statue as either a fixture or a chattel. The statue here is cemented to the ground and therefore could arguably be viewed as being affixed to the land. However, on balance, it is argued here that as the statue was purchased on holiday and placed on the land </w:t>
      </w:r>
      <w:proofErr w:type="gramStart"/>
      <w:r w:rsidRPr="00B425BD">
        <w:rPr>
          <w:rFonts w:cstheme="minorHAnsi"/>
          <w:sz w:val="24"/>
          <w:szCs w:val="24"/>
        </w:rPr>
        <w:t>in order to</w:t>
      </w:r>
      <w:proofErr w:type="gramEnd"/>
      <w:r w:rsidRPr="00B425BD">
        <w:rPr>
          <w:rFonts w:cstheme="minorHAnsi"/>
          <w:sz w:val="24"/>
          <w:szCs w:val="24"/>
        </w:rPr>
        <w:t xml:space="preserve"> </w:t>
      </w:r>
      <w:r w:rsidRPr="00B425BD">
        <w:rPr>
          <w:rFonts w:cstheme="minorHAnsi"/>
          <w:sz w:val="24"/>
          <w:szCs w:val="24"/>
        </w:rPr>
        <w:lastRenderedPageBreak/>
        <w:t xml:space="preserve">enjoy the statue rather than as part of the enhancement of the land, it is likely that this would be viewed as a fitting and not a fixture. </w:t>
      </w:r>
    </w:p>
    <w:p w14:paraId="4F7B4FBC" w14:textId="77777777" w:rsidR="00211F81" w:rsidRPr="00B425BD" w:rsidRDefault="00211F81" w:rsidP="00E37245">
      <w:pPr>
        <w:spacing w:line="480" w:lineRule="auto"/>
        <w:jc w:val="both"/>
        <w:rPr>
          <w:rFonts w:cstheme="minorHAnsi"/>
          <w:i/>
          <w:iCs/>
          <w:sz w:val="24"/>
          <w:szCs w:val="24"/>
          <w:u w:val="single"/>
        </w:rPr>
      </w:pPr>
    </w:p>
    <w:p w14:paraId="48AECFC4" w14:textId="77777777" w:rsidR="00402AC6" w:rsidRPr="00B425BD" w:rsidRDefault="00402AC6" w:rsidP="00E37245">
      <w:pPr>
        <w:spacing w:line="480" w:lineRule="auto"/>
        <w:jc w:val="both"/>
        <w:rPr>
          <w:rFonts w:cstheme="minorHAnsi"/>
          <w:b/>
          <w:bCs/>
          <w:sz w:val="24"/>
          <w:szCs w:val="24"/>
        </w:rPr>
      </w:pPr>
      <w:r w:rsidRPr="00B425BD">
        <w:rPr>
          <w:rFonts w:cstheme="minorHAnsi"/>
          <w:b/>
          <w:bCs/>
          <w:sz w:val="24"/>
          <w:szCs w:val="24"/>
        </w:rPr>
        <w:t xml:space="preserve">Conclusions </w:t>
      </w:r>
    </w:p>
    <w:p w14:paraId="75655E54" w14:textId="3BB8F439" w:rsidR="00DA3A68" w:rsidRPr="00B425BD" w:rsidRDefault="00211F81" w:rsidP="00E37245">
      <w:pPr>
        <w:spacing w:line="480" w:lineRule="auto"/>
        <w:jc w:val="both"/>
        <w:rPr>
          <w:rFonts w:cstheme="minorHAnsi"/>
          <w:sz w:val="24"/>
          <w:szCs w:val="24"/>
        </w:rPr>
      </w:pPr>
      <w:r w:rsidRPr="00B425BD">
        <w:rPr>
          <w:rFonts w:cstheme="minorHAnsi"/>
          <w:sz w:val="24"/>
          <w:szCs w:val="24"/>
        </w:rPr>
        <w:t>In summary</w:t>
      </w:r>
      <w:r w:rsidR="00FA1DAF" w:rsidRPr="00B425BD">
        <w:rPr>
          <w:rFonts w:cstheme="minorHAnsi"/>
          <w:sz w:val="24"/>
          <w:szCs w:val="24"/>
        </w:rPr>
        <w:t>,</w:t>
      </w:r>
      <w:r w:rsidRPr="00B425BD">
        <w:rPr>
          <w:rFonts w:cstheme="minorHAnsi"/>
          <w:sz w:val="24"/>
          <w:szCs w:val="24"/>
        </w:rPr>
        <w:t xml:space="preserve"> Selina would likely be able to argue that </w:t>
      </w:r>
      <w:r w:rsidR="002C3A85" w:rsidRPr="00B425BD">
        <w:rPr>
          <w:rFonts w:cstheme="minorHAnsi"/>
          <w:sz w:val="24"/>
          <w:szCs w:val="24"/>
        </w:rPr>
        <w:t>the kitchen units,</w:t>
      </w:r>
      <w:r w:rsidRPr="00B425BD">
        <w:rPr>
          <w:rFonts w:cstheme="minorHAnsi"/>
          <w:sz w:val="24"/>
          <w:szCs w:val="24"/>
        </w:rPr>
        <w:t xml:space="preserve"> </w:t>
      </w:r>
      <w:proofErr w:type="gramStart"/>
      <w:r w:rsidR="00580DFA" w:rsidRPr="00B425BD">
        <w:rPr>
          <w:rFonts w:cstheme="minorHAnsi"/>
          <w:sz w:val="24"/>
          <w:szCs w:val="24"/>
        </w:rPr>
        <w:t>seat</w:t>
      </w:r>
      <w:r w:rsidR="006F6D9F">
        <w:rPr>
          <w:rFonts w:cstheme="minorHAnsi"/>
          <w:sz w:val="24"/>
          <w:szCs w:val="24"/>
        </w:rPr>
        <w:t>s</w:t>
      </w:r>
      <w:proofErr w:type="gramEnd"/>
      <w:r w:rsidR="006F6D9F">
        <w:rPr>
          <w:rFonts w:cstheme="minorHAnsi"/>
          <w:sz w:val="24"/>
          <w:szCs w:val="24"/>
        </w:rPr>
        <w:t xml:space="preserve"> </w:t>
      </w:r>
      <w:r w:rsidR="00580DFA" w:rsidRPr="00B425BD">
        <w:rPr>
          <w:rFonts w:cstheme="minorHAnsi"/>
          <w:sz w:val="24"/>
          <w:szCs w:val="24"/>
        </w:rPr>
        <w:t xml:space="preserve">and summerhouse </w:t>
      </w:r>
      <w:r w:rsidRPr="00B425BD">
        <w:rPr>
          <w:rFonts w:cstheme="minorHAnsi"/>
          <w:sz w:val="24"/>
          <w:szCs w:val="24"/>
        </w:rPr>
        <w:t>are fixtures and therefore should remain with the land</w:t>
      </w:r>
      <w:r w:rsidR="00FA1DAF" w:rsidRPr="00B425BD">
        <w:rPr>
          <w:rFonts w:cstheme="minorHAnsi"/>
          <w:sz w:val="24"/>
          <w:szCs w:val="24"/>
        </w:rPr>
        <w:t>,</w:t>
      </w:r>
      <w:r w:rsidRPr="00B425BD">
        <w:rPr>
          <w:rFonts w:cstheme="minorHAnsi"/>
          <w:sz w:val="24"/>
          <w:szCs w:val="24"/>
        </w:rPr>
        <w:t xml:space="preserve"> whereas the </w:t>
      </w:r>
      <w:r w:rsidR="00580DFA" w:rsidRPr="00B425BD">
        <w:rPr>
          <w:rFonts w:cstheme="minorHAnsi"/>
          <w:sz w:val="24"/>
          <w:szCs w:val="24"/>
        </w:rPr>
        <w:t>pots (except the one with the ivy) and the statue</w:t>
      </w:r>
      <w:r w:rsidRPr="00B425BD">
        <w:rPr>
          <w:rFonts w:cstheme="minorHAnsi"/>
          <w:sz w:val="24"/>
          <w:szCs w:val="24"/>
        </w:rPr>
        <w:t xml:space="preserve"> would likely be viewed as chattels and would not become hers on transfer of the land.</w:t>
      </w:r>
      <w:r w:rsidR="00B167DE" w:rsidRPr="00B425BD">
        <w:rPr>
          <w:rFonts w:cstheme="minorHAnsi"/>
          <w:sz w:val="24"/>
          <w:szCs w:val="24"/>
        </w:rPr>
        <w:t xml:space="preserve"> The analysis in support of the conclusion is above with the distinction being the level of annexation to the land and the purpose of the item being annexed to the land. This argument has been presented above the conclusions above reached.</w:t>
      </w:r>
    </w:p>
    <w:p w14:paraId="4CE0AB56" w14:textId="77777777" w:rsidR="00FA1DAF" w:rsidRPr="00B425BD" w:rsidRDefault="00FA1DAF" w:rsidP="00E37245">
      <w:pPr>
        <w:spacing w:line="480" w:lineRule="auto"/>
        <w:rPr>
          <w:rFonts w:cstheme="minorHAnsi"/>
          <w:b/>
          <w:bCs/>
          <w:sz w:val="24"/>
          <w:szCs w:val="24"/>
          <w:u w:val="single"/>
        </w:rPr>
      </w:pPr>
      <w:r w:rsidRPr="00B425BD">
        <w:rPr>
          <w:rFonts w:cstheme="minorHAnsi"/>
          <w:b/>
          <w:bCs/>
          <w:sz w:val="24"/>
          <w:szCs w:val="24"/>
          <w:u w:val="single"/>
        </w:rPr>
        <w:br w:type="page"/>
      </w:r>
    </w:p>
    <w:p w14:paraId="6219CE98" w14:textId="77777777" w:rsidR="008C5B05" w:rsidRPr="00B425BD" w:rsidRDefault="008C5B05" w:rsidP="00E37245">
      <w:pPr>
        <w:spacing w:line="480" w:lineRule="auto"/>
        <w:jc w:val="center"/>
        <w:rPr>
          <w:rFonts w:cstheme="minorHAnsi"/>
          <w:b/>
          <w:bCs/>
          <w:sz w:val="24"/>
          <w:szCs w:val="24"/>
          <w:u w:val="single"/>
        </w:rPr>
      </w:pPr>
      <w:r w:rsidRPr="00B425BD">
        <w:rPr>
          <w:rFonts w:cstheme="minorHAnsi"/>
          <w:b/>
          <w:bCs/>
          <w:sz w:val="24"/>
          <w:szCs w:val="24"/>
          <w:u w:val="single"/>
        </w:rPr>
        <w:lastRenderedPageBreak/>
        <w:t>Question 2</w:t>
      </w:r>
    </w:p>
    <w:p w14:paraId="13177A95" w14:textId="77777777" w:rsidR="00C413A8" w:rsidRPr="00B425BD" w:rsidRDefault="00C413A8" w:rsidP="00E37245">
      <w:pPr>
        <w:spacing w:line="480" w:lineRule="auto"/>
        <w:jc w:val="both"/>
        <w:rPr>
          <w:rFonts w:cstheme="minorHAnsi"/>
          <w:b/>
          <w:bCs/>
          <w:sz w:val="24"/>
          <w:szCs w:val="24"/>
        </w:rPr>
      </w:pPr>
      <w:r w:rsidRPr="00B425BD">
        <w:rPr>
          <w:rFonts w:cstheme="minorHAnsi"/>
          <w:b/>
          <w:bCs/>
          <w:sz w:val="24"/>
          <w:szCs w:val="24"/>
        </w:rPr>
        <w:t>Introduction</w:t>
      </w:r>
    </w:p>
    <w:p w14:paraId="06C6660C" w14:textId="77777777" w:rsidR="00C413A8" w:rsidRPr="00B425BD" w:rsidRDefault="00C413A8" w:rsidP="00E37245">
      <w:pPr>
        <w:spacing w:line="480" w:lineRule="auto"/>
        <w:jc w:val="both"/>
        <w:rPr>
          <w:rFonts w:cstheme="minorHAnsi"/>
          <w:sz w:val="24"/>
          <w:szCs w:val="24"/>
        </w:rPr>
      </w:pPr>
      <w:r w:rsidRPr="00B425BD">
        <w:rPr>
          <w:rFonts w:cstheme="minorHAnsi"/>
          <w:sz w:val="24"/>
          <w:szCs w:val="24"/>
        </w:rPr>
        <w:t>The key issues arising for Peter include the fact that he is in default of his mortgage on the farm</w:t>
      </w:r>
      <w:r w:rsidR="00D72314" w:rsidRPr="00B425BD">
        <w:rPr>
          <w:rFonts w:cstheme="minorHAnsi"/>
          <w:sz w:val="24"/>
          <w:szCs w:val="24"/>
        </w:rPr>
        <w:t>,</w:t>
      </w:r>
      <w:r w:rsidRPr="00B425BD">
        <w:rPr>
          <w:rFonts w:cstheme="minorHAnsi"/>
          <w:sz w:val="24"/>
          <w:szCs w:val="24"/>
        </w:rPr>
        <w:t xml:space="preserve"> the lender being Trinity Bank</w:t>
      </w:r>
      <w:r w:rsidR="00D72314" w:rsidRPr="00B425BD">
        <w:rPr>
          <w:rFonts w:cstheme="minorHAnsi"/>
          <w:sz w:val="24"/>
          <w:szCs w:val="24"/>
        </w:rPr>
        <w:t>,</w:t>
      </w:r>
      <w:r w:rsidRPr="00B425BD">
        <w:rPr>
          <w:rFonts w:cstheme="minorHAnsi"/>
          <w:sz w:val="24"/>
          <w:szCs w:val="24"/>
        </w:rPr>
        <w:t xml:space="preserve"> and</w:t>
      </w:r>
      <w:r w:rsidR="00D72314" w:rsidRPr="00B425BD">
        <w:rPr>
          <w:rFonts w:cstheme="minorHAnsi"/>
          <w:sz w:val="24"/>
          <w:szCs w:val="24"/>
        </w:rPr>
        <w:t>,</w:t>
      </w:r>
      <w:r w:rsidRPr="00B425BD">
        <w:rPr>
          <w:rFonts w:cstheme="minorHAnsi"/>
          <w:sz w:val="24"/>
          <w:szCs w:val="24"/>
        </w:rPr>
        <w:t xml:space="preserve"> secondly</w:t>
      </w:r>
      <w:r w:rsidR="00D72314" w:rsidRPr="00B425BD">
        <w:rPr>
          <w:rFonts w:cstheme="minorHAnsi"/>
          <w:sz w:val="24"/>
          <w:szCs w:val="24"/>
        </w:rPr>
        <w:t>,</w:t>
      </w:r>
      <w:r w:rsidRPr="00B425BD">
        <w:rPr>
          <w:rFonts w:cstheme="minorHAnsi"/>
          <w:sz w:val="24"/>
          <w:szCs w:val="24"/>
        </w:rPr>
        <w:t xml:space="preserve"> the fact that he now has a potential purchaser for the farm who will be concerned about taking on the farm where there is a mortgage arrear. Consideration will be given primarily to the remedies available to Trinity and the possible actions that may ensue </w:t>
      </w:r>
      <w:proofErr w:type="gramStart"/>
      <w:r w:rsidRPr="00B425BD">
        <w:rPr>
          <w:rFonts w:cstheme="minorHAnsi"/>
          <w:sz w:val="24"/>
          <w:szCs w:val="24"/>
        </w:rPr>
        <w:t>as a result of</w:t>
      </w:r>
      <w:proofErr w:type="gramEnd"/>
      <w:r w:rsidRPr="00B425BD">
        <w:rPr>
          <w:rFonts w:cstheme="minorHAnsi"/>
          <w:sz w:val="24"/>
          <w:szCs w:val="24"/>
        </w:rPr>
        <w:t xml:space="preserve"> the default</w:t>
      </w:r>
      <w:r w:rsidR="002574C1" w:rsidRPr="00B425BD">
        <w:rPr>
          <w:rFonts w:cstheme="minorHAnsi"/>
          <w:sz w:val="24"/>
          <w:szCs w:val="24"/>
        </w:rPr>
        <w:t>,</w:t>
      </w:r>
      <w:r w:rsidRPr="00B425BD">
        <w:rPr>
          <w:rFonts w:cstheme="minorHAnsi"/>
          <w:sz w:val="24"/>
          <w:szCs w:val="24"/>
        </w:rPr>
        <w:t xml:space="preserve"> with secondary consideration being given to the impact of the potential purchaser on the situation that Peter finds himself in. </w:t>
      </w:r>
    </w:p>
    <w:p w14:paraId="04458B84" w14:textId="77777777" w:rsidR="00C413A8" w:rsidRPr="00B425BD" w:rsidRDefault="00C413A8" w:rsidP="00E37245">
      <w:pPr>
        <w:spacing w:line="480" w:lineRule="auto"/>
        <w:jc w:val="both"/>
        <w:rPr>
          <w:rFonts w:cstheme="minorHAnsi"/>
          <w:b/>
          <w:bCs/>
          <w:sz w:val="24"/>
          <w:szCs w:val="24"/>
        </w:rPr>
      </w:pPr>
      <w:r w:rsidRPr="00B425BD">
        <w:rPr>
          <w:rFonts w:cstheme="minorHAnsi"/>
          <w:b/>
          <w:bCs/>
          <w:sz w:val="24"/>
          <w:szCs w:val="24"/>
        </w:rPr>
        <w:t xml:space="preserve">Legal Principles </w:t>
      </w:r>
    </w:p>
    <w:p w14:paraId="7B06006B" w14:textId="77777777" w:rsidR="00904786" w:rsidRPr="00B425BD" w:rsidRDefault="00F44671" w:rsidP="00E37245">
      <w:pPr>
        <w:spacing w:line="480" w:lineRule="auto"/>
        <w:jc w:val="both"/>
        <w:rPr>
          <w:rFonts w:cstheme="minorHAnsi"/>
          <w:sz w:val="24"/>
          <w:szCs w:val="24"/>
        </w:rPr>
      </w:pPr>
      <w:r w:rsidRPr="00B425BD">
        <w:rPr>
          <w:rFonts w:cstheme="minorHAnsi"/>
          <w:sz w:val="24"/>
          <w:szCs w:val="24"/>
        </w:rPr>
        <w:t>Where a mortgagee</w:t>
      </w:r>
      <w:r w:rsidR="002574C1" w:rsidRPr="00B425BD">
        <w:rPr>
          <w:rFonts w:cstheme="minorHAnsi"/>
          <w:sz w:val="24"/>
          <w:szCs w:val="24"/>
        </w:rPr>
        <w:t>—</w:t>
      </w:r>
      <w:r w:rsidRPr="00B425BD">
        <w:rPr>
          <w:rFonts w:cstheme="minorHAnsi"/>
          <w:sz w:val="24"/>
          <w:szCs w:val="24"/>
        </w:rPr>
        <w:t>in this case</w:t>
      </w:r>
      <w:r w:rsidR="002574C1" w:rsidRPr="00B425BD">
        <w:rPr>
          <w:rFonts w:cstheme="minorHAnsi"/>
          <w:sz w:val="24"/>
          <w:szCs w:val="24"/>
        </w:rPr>
        <w:t>,</w:t>
      </w:r>
      <w:r w:rsidRPr="00B425BD">
        <w:rPr>
          <w:rFonts w:cstheme="minorHAnsi"/>
          <w:sz w:val="24"/>
          <w:szCs w:val="24"/>
        </w:rPr>
        <w:t xml:space="preserve"> Trinity</w:t>
      </w:r>
      <w:r w:rsidR="002574C1" w:rsidRPr="00B425BD">
        <w:rPr>
          <w:rFonts w:cstheme="minorHAnsi"/>
          <w:sz w:val="24"/>
          <w:szCs w:val="24"/>
        </w:rPr>
        <w:t>—</w:t>
      </w:r>
      <w:r w:rsidRPr="00B425BD">
        <w:rPr>
          <w:rFonts w:cstheme="minorHAnsi"/>
          <w:sz w:val="24"/>
          <w:szCs w:val="24"/>
        </w:rPr>
        <w:t xml:space="preserve">is in </w:t>
      </w:r>
      <w:r w:rsidR="002574C1" w:rsidRPr="00B425BD">
        <w:rPr>
          <w:rFonts w:cstheme="minorHAnsi"/>
          <w:sz w:val="24"/>
          <w:szCs w:val="24"/>
        </w:rPr>
        <w:t>the</w:t>
      </w:r>
      <w:r w:rsidRPr="00B425BD">
        <w:rPr>
          <w:rFonts w:cstheme="minorHAnsi"/>
          <w:sz w:val="24"/>
          <w:szCs w:val="24"/>
        </w:rPr>
        <w:t xml:space="preserve"> position that they have not been receiving the required monies under the mortgage deed and therefore the mortgage is in default</w:t>
      </w:r>
      <w:r w:rsidR="002574C1" w:rsidRPr="00B425BD">
        <w:rPr>
          <w:rFonts w:cstheme="minorHAnsi"/>
          <w:sz w:val="24"/>
          <w:szCs w:val="24"/>
        </w:rPr>
        <w:t>,</w:t>
      </w:r>
      <w:r w:rsidRPr="00B425BD">
        <w:rPr>
          <w:rFonts w:cstheme="minorHAnsi"/>
          <w:sz w:val="24"/>
          <w:szCs w:val="24"/>
        </w:rPr>
        <w:t xml:space="preserve"> there are several remedies available to them</w:t>
      </w:r>
      <w:r w:rsidR="00E77592" w:rsidRPr="00B425BD">
        <w:rPr>
          <w:rFonts w:cstheme="minorHAnsi"/>
          <w:sz w:val="24"/>
          <w:szCs w:val="24"/>
        </w:rPr>
        <w:t xml:space="preserve"> in accordance with the</w:t>
      </w:r>
      <w:r w:rsidR="00EA441D" w:rsidRPr="00B425BD">
        <w:rPr>
          <w:rFonts w:cstheme="minorHAnsi"/>
          <w:sz w:val="24"/>
          <w:szCs w:val="24"/>
        </w:rPr>
        <w:t xml:space="preserve"> </w:t>
      </w:r>
      <w:r w:rsidR="00EA441D" w:rsidRPr="00B425BD">
        <w:rPr>
          <w:rFonts w:cstheme="minorHAnsi"/>
          <w:i/>
          <w:iCs/>
          <w:sz w:val="24"/>
          <w:szCs w:val="24"/>
        </w:rPr>
        <w:t xml:space="preserve">Sections 101 – 106 </w:t>
      </w:r>
      <w:r w:rsidR="00EA441D" w:rsidRPr="00B425BD">
        <w:rPr>
          <w:rFonts w:cstheme="minorHAnsi"/>
          <w:sz w:val="24"/>
          <w:szCs w:val="24"/>
        </w:rPr>
        <w:t>of the</w:t>
      </w:r>
      <w:r w:rsidR="00E77592" w:rsidRPr="00B425BD">
        <w:rPr>
          <w:rFonts w:cstheme="minorHAnsi"/>
          <w:sz w:val="24"/>
          <w:szCs w:val="24"/>
        </w:rPr>
        <w:t xml:space="preserve"> </w:t>
      </w:r>
      <w:r w:rsidR="00E77592" w:rsidRPr="00B425BD">
        <w:rPr>
          <w:rFonts w:cstheme="minorHAnsi"/>
          <w:i/>
          <w:iCs/>
          <w:sz w:val="24"/>
          <w:szCs w:val="24"/>
        </w:rPr>
        <w:t>Law of Property Act 1925</w:t>
      </w:r>
      <w:r w:rsidRPr="00B425BD">
        <w:rPr>
          <w:rFonts w:cstheme="minorHAnsi"/>
          <w:sz w:val="24"/>
          <w:szCs w:val="24"/>
        </w:rPr>
        <w:t>. The remedies available include foreclosure, appointment of a receiver, suing for breach of contract, taking possession and sale of the property</w:t>
      </w:r>
      <w:r w:rsidR="00293F52" w:rsidRPr="00B425BD">
        <w:rPr>
          <w:rFonts w:cstheme="minorHAnsi"/>
          <w:sz w:val="24"/>
          <w:szCs w:val="24"/>
        </w:rPr>
        <w:t xml:space="preserve">. </w:t>
      </w:r>
      <w:r w:rsidR="00E77592" w:rsidRPr="00B425BD">
        <w:rPr>
          <w:rFonts w:cstheme="minorHAnsi"/>
          <w:sz w:val="24"/>
          <w:szCs w:val="24"/>
        </w:rPr>
        <w:t xml:space="preserve">It is presumed that the mortgage is duly registered in accordance with the </w:t>
      </w:r>
      <w:r w:rsidR="00E77592" w:rsidRPr="00B425BD">
        <w:rPr>
          <w:rFonts w:cstheme="minorHAnsi"/>
          <w:i/>
          <w:iCs/>
          <w:sz w:val="24"/>
          <w:szCs w:val="24"/>
        </w:rPr>
        <w:t>Land Registration Act 2002</w:t>
      </w:r>
      <w:r w:rsidR="00904786" w:rsidRPr="00B425BD">
        <w:rPr>
          <w:rFonts w:cstheme="minorHAnsi"/>
          <w:sz w:val="24"/>
          <w:szCs w:val="24"/>
        </w:rPr>
        <w:t xml:space="preserve"> section 27 and that the mortgage is a legal charge</w:t>
      </w:r>
      <w:r w:rsidR="002574C1" w:rsidRPr="00B425BD">
        <w:rPr>
          <w:rFonts w:cstheme="minorHAnsi"/>
          <w:sz w:val="24"/>
          <w:szCs w:val="24"/>
        </w:rPr>
        <w:t>,</w:t>
      </w:r>
      <w:r w:rsidR="00904786" w:rsidRPr="00B425BD">
        <w:rPr>
          <w:rFonts w:cstheme="minorHAnsi"/>
          <w:sz w:val="24"/>
          <w:szCs w:val="24"/>
        </w:rPr>
        <w:t xml:space="preserve"> not an equitable charge (</w:t>
      </w:r>
      <w:r w:rsidR="00904786" w:rsidRPr="00B425BD">
        <w:rPr>
          <w:rFonts w:cstheme="minorHAnsi"/>
          <w:i/>
          <w:iCs/>
          <w:sz w:val="24"/>
          <w:szCs w:val="24"/>
        </w:rPr>
        <w:t xml:space="preserve">Bank of Scotland PLC v J T Waugh (1) K Waugh (2) T R Gray (3) I E Williams (4) </w:t>
      </w:r>
      <w:r w:rsidR="002574C1" w:rsidRPr="00B425BD">
        <w:rPr>
          <w:rFonts w:cstheme="minorHAnsi"/>
          <w:sz w:val="24"/>
          <w:szCs w:val="24"/>
        </w:rPr>
        <w:t>[</w:t>
      </w:r>
      <w:r w:rsidR="00904786" w:rsidRPr="00B425BD">
        <w:rPr>
          <w:rFonts w:cstheme="minorHAnsi"/>
          <w:sz w:val="24"/>
          <w:szCs w:val="24"/>
        </w:rPr>
        <w:t>2014</w:t>
      </w:r>
      <w:r w:rsidR="002574C1" w:rsidRPr="00B425BD">
        <w:rPr>
          <w:rFonts w:cstheme="minorHAnsi"/>
          <w:sz w:val="24"/>
          <w:szCs w:val="24"/>
        </w:rPr>
        <w:t>]</w:t>
      </w:r>
      <w:r w:rsidR="00904786" w:rsidRPr="00B425BD">
        <w:rPr>
          <w:rFonts w:cstheme="minorHAnsi"/>
          <w:sz w:val="24"/>
          <w:szCs w:val="24"/>
        </w:rPr>
        <w:t>).</w:t>
      </w:r>
    </w:p>
    <w:p w14:paraId="304B154A" w14:textId="77777777" w:rsidR="00F44671" w:rsidRPr="00B425BD" w:rsidRDefault="00293F52" w:rsidP="00E37245">
      <w:pPr>
        <w:spacing w:line="480" w:lineRule="auto"/>
        <w:jc w:val="both"/>
        <w:rPr>
          <w:rFonts w:cstheme="minorHAnsi"/>
          <w:sz w:val="24"/>
          <w:szCs w:val="24"/>
        </w:rPr>
      </w:pPr>
      <w:r w:rsidRPr="00B425BD">
        <w:rPr>
          <w:rFonts w:cstheme="minorHAnsi"/>
          <w:sz w:val="24"/>
          <w:szCs w:val="24"/>
        </w:rPr>
        <w:t xml:space="preserve">The simplest route for the lender would be to take a </w:t>
      </w:r>
      <w:r w:rsidR="002574C1" w:rsidRPr="00B425BD">
        <w:rPr>
          <w:rFonts w:cstheme="minorHAnsi"/>
          <w:sz w:val="24"/>
          <w:szCs w:val="24"/>
        </w:rPr>
        <w:t xml:space="preserve">contract </w:t>
      </w:r>
      <w:r w:rsidRPr="00B425BD">
        <w:rPr>
          <w:rFonts w:cstheme="minorHAnsi"/>
          <w:sz w:val="24"/>
          <w:szCs w:val="24"/>
        </w:rPr>
        <w:t>action</w:t>
      </w:r>
      <w:r w:rsidR="00B167DE" w:rsidRPr="00B425BD">
        <w:rPr>
          <w:rFonts w:cstheme="minorHAnsi"/>
          <w:sz w:val="24"/>
          <w:szCs w:val="24"/>
        </w:rPr>
        <w:t xml:space="preserve"> in debt following an action for possession</w:t>
      </w:r>
      <w:r w:rsidRPr="00B425BD">
        <w:rPr>
          <w:rFonts w:cstheme="minorHAnsi"/>
          <w:sz w:val="24"/>
          <w:szCs w:val="24"/>
        </w:rPr>
        <w:t xml:space="preserve"> requiring repayment of the debt</w:t>
      </w:r>
      <w:r w:rsidR="002574C1" w:rsidRPr="00B425BD">
        <w:rPr>
          <w:rFonts w:cstheme="minorHAnsi"/>
          <w:sz w:val="24"/>
          <w:szCs w:val="24"/>
        </w:rPr>
        <w:t>. T</w:t>
      </w:r>
      <w:r w:rsidRPr="00B425BD">
        <w:rPr>
          <w:rFonts w:cstheme="minorHAnsi"/>
          <w:sz w:val="24"/>
          <w:szCs w:val="24"/>
        </w:rPr>
        <w:t>his would survive the right of sale</w:t>
      </w:r>
      <w:r w:rsidR="002574C1" w:rsidRPr="00B425BD">
        <w:rPr>
          <w:rFonts w:cstheme="minorHAnsi"/>
          <w:sz w:val="24"/>
          <w:szCs w:val="24"/>
        </w:rPr>
        <w:t>,</w:t>
      </w:r>
      <w:r w:rsidRPr="00B425BD">
        <w:rPr>
          <w:rFonts w:cstheme="minorHAnsi"/>
          <w:sz w:val="24"/>
          <w:szCs w:val="24"/>
        </w:rPr>
        <w:t xml:space="preserve"> meaning that if there is a shortfall after the sale of the property</w:t>
      </w:r>
      <w:r w:rsidR="002574C1" w:rsidRPr="00B425BD">
        <w:rPr>
          <w:rFonts w:cstheme="minorHAnsi"/>
          <w:sz w:val="24"/>
          <w:szCs w:val="24"/>
        </w:rPr>
        <w:t>,</w:t>
      </w:r>
      <w:r w:rsidRPr="00B425BD">
        <w:rPr>
          <w:rFonts w:cstheme="minorHAnsi"/>
          <w:sz w:val="24"/>
          <w:szCs w:val="24"/>
        </w:rPr>
        <w:t xml:space="preserve"> Trinity could pursue Peter for the balance (</w:t>
      </w:r>
      <w:r w:rsidRPr="00B425BD">
        <w:rPr>
          <w:rFonts w:cstheme="minorHAnsi"/>
          <w:i/>
          <w:iCs/>
          <w:sz w:val="24"/>
          <w:szCs w:val="24"/>
        </w:rPr>
        <w:t>Rudge v Richens</w:t>
      </w:r>
      <w:r w:rsidRPr="00B425BD">
        <w:rPr>
          <w:rFonts w:cstheme="minorHAnsi"/>
          <w:sz w:val="24"/>
          <w:szCs w:val="24"/>
        </w:rPr>
        <w:t xml:space="preserve"> </w:t>
      </w:r>
      <w:r w:rsidR="002574C1" w:rsidRPr="00B425BD">
        <w:rPr>
          <w:rFonts w:cstheme="minorHAnsi"/>
          <w:sz w:val="24"/>
          <w:szCs w:val="24"/>
        </w:rPr>
        <w:t>[</w:t>
      </w:r>
      <w:r w:rsidRPr="00B425BD">
        <w:rPr>
          <w:rFonts w:cstheme="minorHAnsi"/>
          <w:sz w:val="24"/>
          <w:szCs w:val="24"/>
        </w:rPr>
        <w:t>1872</w:t>
      </w:r>
      <w:r w:rsidR="002574C1" w:rsidRPr="00B425BD">
        <w:rPr>
          <w:rFonts w:cstheme="minorHAnsi"/>
          <w:sz w:val="24"/>
          <w:szCs w:val="24"/>
        </w:rPr>
        <w:t>]</w:t>
      </w:r>
      <w:r w:rsidRPr="00B425BD">
        <w:rPr>
          <w:rFonts w:cstheme="minorHAnsi"/>
          <w:sz w:val="24"/>
          <w:szCs w:val="24"/>
        </w:rPr>
        <w:t>).</w:t>
      </w:r>
      <w:r w:rsidR="00E77592" w:rsidRPr="00B425BD">
        <w:rPr>
          <w:rFonts w:cstheme="minorHAnsi"/>
          <w:sz w:val="24"/>
          <w:szCs w:val="24"/>
        </w:rPr>
        <w:t xml:space="preserve"> Foreclosure </w:t>
      </w:r>
      <w:proofErr w:type="gramStart"/>
      <w:r w:rsidR="00904786" w:rsidRPr="00B425BD">
        <w:rPr>
          <w:rFonts w:cstheme="minorHAnsi"/>
          <w:sz w:val="24"/>
          <w:szCs w:val="24"/>
        </w:rPr>
        <w:t>is considered to be</w:t>
      </w:r>
      <w:proofErr w:type="gramEnd"/>
      <w:r w:rsidR="00904786" w:rsidRPr="00B425BD">
        <w:rPr>
          <w:rFonts w:cstheme="minorHAnsi"/>
          <w:sz w:val="24"/>
          <w:szCs w:val="24"/>
        </w:rPr>
        <w:t xml:space="preserve"> particularly </w:t>
      </w:r>
      <w:r w:rsidR="00904786" w:rsidRPr="00B425BD">
        <w:rPr>
          <w:rFonts w:cstheme="minorHAnsi"/>
          <w:sz w:val="24"/>
          <w:szCs w:val="24"/>
        </w:rPr>
        <w:lastRenderedPageBreak/>
        <w:t>draconian and would allow Trinity to take the property as outright owner</w:t>
      </w:r>
      <w:r w:rsidR="001A1F51" w:rsidRPr="00B425BD">
        <w:rPr>
          <w:rFonts w:cstheme="minorHAnsi"/>
          <w:sz w:val="24"/>
          <w:szCs w:val="24"/>
        </w:rPr>
        <w:t xml:space="preserve"> (</w:t>
      </w:r>
      <w:r w:rsidR="001A1F51" w:rsidRPr="00B425BD">
        <w:rPr>
          <w:rFonts w:cstheme="minorHAnsi"/>
          <w:sz w:val="24"/>
          <w:szCs w:val="24"/>
          <w:shd w:val="clear" w:color="auto" w:fill="FFFFFF"/>
        </w:rPr>
        <w:t>Gray and Gray, 2009)</w:t>
      </w:r>
      <w:r w:rsidR="00904786" w:rsidRPr="00B425BD">
        <w:rPr>
          <w:rFonts w:cstheme="minorHAnsi"/>
          <w:sz w:val="24"/>
          <w:szCs w:val="24"/>
        </w:rPr>
        <w:t>. As this is a residential property, albeit with a lot of land, it is likely that an alternative remedy will be looked at</w:t>
      </w:r>
      <w:r w:rsidR="00EA441D" w:rsidRPr="00B425BD">
        <w:rPr>
          <w:rFonts w:cstheme="minorHAnsi"/>
          <w:sz w:val="24"/>
          <w:szCs w:val="24"/>
        </w:rPr>
        <w:t xml:space="preserve"> with foreclosure being limited to commercial property in most cases</w:t>
      </w:r>
      <w:r w:rsidR="00904786" w:rsidRPr="00B425BD">
        <w:rPr>
          <w:rFonts w:cstheme="minorHAnsi"/>
          <w:sz w:val="24"/>
          <w:szCs w:val="24"/>
        </w:rPr>
        <w:t xml:space="preserve">. </w:t>
      </w:r>
    </w:p>
    <w:p w14:paraId="4B7C7AA5" w14:textId="60304898" w:rsidR="00904786" w:rsidRPr="004A4113" w:rsidRDefault="005B198B" w:rsidP="00E37245">
      <w:pPr>
        <w:spacing w:line="480" w:lineRule="auto"/>
        <w:jc w:val="both"/>
        <w:rPr>
          <w:rFonts w:cstheme="minorHAnsi"/>
          <w:sz w:val="24"/>
          <w:szCs w:val="24"/>
        </w:rPr>
      </w:pPr>
      <w:r w:rsidRPr="00B425BD">
        <w:rPr>
          <w:rFonts w:cstheme="minorHAnsi"/>
          <w:sz w:val="24"/>
          <w:szCs w:val="24"/>
        </w:rPr>
        <w:t>Similarly</w:t>
      </w:r>
      <w:r w:rsidR="002574C1" w:rsidRPr="00B425BD">
        <w:rPr>
          <w:rFonts w:cstheme="minorHAnsi"/>
          <w:sz w:val="24"/>
          <w:szCs w:val="24"/>
        </w:rPr>
        <w:t>,</w:t>
      </w:r>
      <w:r w:rsidR="00904786" w:rsidRPr="00B425BD">
        <w:rPr>
          <w:rFonts w:cstheme="minorHAnsi"/>
          <w:sz w:val="24"/>
          <w:szCs w:val="24"/>
        </w:rPr>
        <w:t xml:space="preserve"> </w:t>
      </w:r>
      <w:r w:rsidR="002574C1" w:rsidRPr="00B425BD">
        <w:rPr>
          <w:rFonts w:cstheme="minorHAnsi"/>
          <w:sz w:val="24"/>
          <w:szCs w:val="24"/>
        </w:rPr>
        <w:t xml:space="preserve">it </w:t>
      </w:r>
      <w:r w:rsidR="00904786" w:rsidRPr="00B425BD">
        <w:rPr>
          <w:rFonts w:cstheme="minorHAnsi"/>
          <w:sz w:val="24"/>
          <w:szCs w:val="24"/>
        </w:rPr>
        <w:t>is possible to look at appointing a receiver as a remedy</w:t>
      </w:r>
      <w:r w:rsidR="002574C1" w:rsidRPr="00B425BD">
        <w:rPr>
          <w:rFonts w:cstheme="minorHAnsi"/>
          <w:sz w:val="24"/>
          <w:szCs w:val="24"/>
        </w:rPr>
        <w:t>,</w:t>
      </w:r>
      <w:r w:rsidR="00904786" w:rsidRPr="00B425BD">
        <w:rPr>
          <w:rFonts w:cstheme="minorHAnsi"/>
          <w:sz w:val="24"/>
          <w:szCs w:val="24"/>
        </w:rPr>
        <w:t xml:space="preserve"> which would allow the receiver to </w:t>
      </w:r>
      <w:r w:rsidRPr="00B425BD">
        <w:rPr>
          <w:rFonts w:cstheme="minorHAnsi"/>
          <w:sz w:val="24"/>
          <w:szCs w:val="24"/>
        </w:rPr>
        <w:t xml:space="preserve">act as the agent for the mortgagor with </w:t>
      </w:r>
      <w:r w:rsidR="002574C1" w:rsidRPr="00B425BD">
        <w:rPr>
          <w:rFonts w:cstheme="minorHAnsi"/>
          <w:sz w:val="24"/>
          <w:szCs w:val="24"/>
        </w:rPr>
        <w:t>a</w:t>
      </w:r>
      <w:r w:rsidRPr="00B425BD">
        <w:rPr>
          <w:rFonts w:cstheme="minorHAnsi"/>
          <w:sz w:val="24"/>
          <w:szCs w:val="24"/>
        </w:rPr>
        <w:t xml:space="preserve"> view to the receiver then selling the property and taking on the duty to the mortgagor for any losses. </w:t>
      </w:r>
      <w:r w:rsidR="006F6D9F" w:rsidRPr="00E37245">
        <w:rPr>
          <w:rFonts w:cstheme="minorHAnsi"/>
          <w:sz w:val="24"/>
          <w:szCs w:val="24"/>
        </w:rPr>
        <w:t>Typically,</w:t>
      </w:r>
      <w:r w:rsidRPr="004A4113">
        <w:rPr>
          <w:rFonts w:cstheme="minorHAnsi"/>
          <w:sz w:val="24"/>
          <w:szCs w:val="24"/>
        </w:rPr>
        <w:t xml:space="preserve"> this type of approach is reserved for commercial </w:t>
      </w:r>
      <w:r w:rsidR="001A5735" w:rsidRPr="004A4113">
        <w:rPr>
          <w:rFonts w:cstheme="minorHAnsi"/>
          <w:sz w:val="24"/>
          <w:szCs w:val="24"/>
        </w:rPr>
        <w:t>arrangements</w:t>
      </w:r>
      <w:r w:rsidR="002574C1" w:rsidRPr="004A4113">
        <w:rPr>
          <w:rFonts w:cstheme="minorHAnsi"/>
          <w:sz w:val="24"/>
          <w:szCs w:val="24"/>
        </w:rPr>
        <w:t>,</w:t>
      </w:r>
      <w:r w:rsidR="001A5735" w:rsidRPr="004A4113">
        <w:rPr>
          <w:rFonts w:cstheme="minorHAnsi"/>
          <w:sz w:val="24"/>
          <w:szCs w:val="24"/>
        </w:rPr>
        <w:t xml:space="preserve"> residential property not generally using a receiver as a remedy</w:t>
      </w:r>
      <w:r w:rsidR="002574C1" w:rsidRPr="004A4113">
        <w:rPr>
          <w:rFonts w:cstheme="minorHAnsi"/>
          <w:sz w:val="24"/>
          <w:szCs w:val="24"/>
        </w:rPr>
        <w:t>,</w:t>
      </w:r>
      <w:r w:rsidR="001A5735" w:rsidRPr="004A4113">
        <w:rPr>
          <w:rFonts w:cstheme="minorHAnsi"/>
          <w:sz w:val="24"/>
          <w:szCs w:val="24"/>
        </w:rPr>
        <w:t xml:space="preserve"> with only very limited exceptions (</w:t>
      </w:r>
      <w:r w:rsidR="001A5735" w:rsidRPr="004A4113">
        <w:rPr>
          <w:rFonts w:cstheme="minorHAnsi"/>
          <w:i/>
          <w:iCs/>
          <w:sz w:val="24"/>
          <w:szCs w:val="24"/>
        </w:rPr>
        <w:t>Horsham Properties Group Ltd v Clark &amp; Another</w:t>
      </w:r>
      <w:r w:rsidR="001A5735" w:rsidRPr="004A4113">
        <w:rPr>
          <w:rFonts w:cstheme="minorHAnsi"/>
          <w:sz w:val="24"/>
          <w:szCs w:val="24"/>
        </w:rPr>
        <w:t xml:space="preserve"> </w:t>
      </w:r>
      <w:r w:rsidR="002574C1" w:rsidRPr="004A4113">
        <w:rPr>
          <w:rFonts w:cstheme="minorHAnsi"/>
          <w:sz w:val="24"/>
          <w:szCs w:val="24"/>
        </w:rPr>
        <w:t>[</w:t>
      </w:r>
      <w:r w:rsidR="001A5735" w:rsidRPr="004A4113">
        <w:rPr>
          <w:rFonts w:cstheme="minorHAnsi"/>
          <w:sz w:val="24"/>
          <w:szCs w:val="24"/>
        </w:rPr>
        <w:t>2008</w:t>
      </w:r>
      <w:r w:rsidR="002574C1" w:rsidRPr="004A4113">
        <w:rPr>
          <w:rFonts w:cstheme="minorHAnsi"/>
          <w:sz w:val="24"/>
          <w:szCs w:val="24"/>
        </w:rPr>
        <w:t>]</w:t>
      </w:r>
      <w:r w:rsidR="001A5735" w:rsidRPr="004A4113">
        <w:rPr>
          <w:rFonts w:cstheme="minorHAnsi"/>
          <w:sz w:val="24"/>
          <w:szCs w:val="24"/>
        </w:rPr>
        <w:t>)</w:t>
      </w:r>
      <w:r w:rsidR="002574C1" w:rsidRPr="004A4113">
        <w:rPr>
          <w:rFonts w:cstheme="minorHAnsi"/>
          <w:sz w:val="24"/>
          <w:szCs w:val="24"/>
        </w:rPr>
        <w:t>.</w:t>
      </w:r>
    </w:p>
    <w:p w14:paraId="0179DFB7" w14:textId="77777777" w:rsidR="00293F52" w:rsidRPr="004A4113" w:rsidRDefault="00293F52" w:rsidP="00E37245">
      <w:pPr>
        <w:spacing w:line="480" w:lineRule="auto"/>
        <w:jc w:val="both"/>
        <w:rPr>
          <w:rFonts w:cstheme="minorHAnsi"/>
          <w:sz w:val="24"/>
          <w:szCs w:val="24"/>
        </w:rPr>
      </w:pPr>
      <w:r w:rsidRPr="004A4113">
        <w:rPr>
          <w:rFonts w:cstheme="minorHAnsi"/>
          <w:sz w:val="24"/>
          <w:szCs w:val="24"/>
        </w:rPr>
        <w:t xml:space="preserve">Taking possession and </w:t>
      </w:r>
      <w:r w:rsidR="00E77592" w:rsidRPr="004A4113">
        <w:rPr>
          <w:rFonts w:cstheme="minorHAnsi"/>
          <w:sz w:val="24"/>
          <w:szCs w:val="24"/>
        </w:rPr>
        <w:t xml:space="preserve">the power of sale are </w:t>
      </w:r>
      <w:r w:rsidR="001A5735" w:rsidRPr="004A4113">
        <w:rPr>
          <w:rFonts w:cstheme="minorHAnsi"/>
          <w:sz w:val="24"/>
          <w:szCs w:val="24"/>
        </w:rPr>
        <w:t xml:space="preserve">more relevant remedies and </w:t>
      </w:r>
      <w:r w:rsidR="002574C1" w:rsidRPr="004A4113">
        <w:rPr>
          <w:rFonts w:cstheme="minorHAnsi"/>
          <w:sz w:val="24"/>
          <w:szCs w:val="24"/>
        </w:rPr>
        <w:t xml:space="preserve">are </w:t>
      </w:r>
      <w:r w:rsidR="001A5735" w:rsidRPr="004A4113">
        <w:rPr>
          <w:rFonts w:cstheme="minorHAnsi"/>
          <w:sz w:val="24"/>
          <w:szCs w:val="24"/>
        </w:rPr>
        <w:t xml:space="preserve">likely to be pursued by Trinity. The typical process </w:t>
      </w:r>
      <w:r w:rsidR="002574C1" w:rsidRPr="004A4113">
        <w:rPr>
          <w:rFonts w:cstheme="minorHAnsi"/>
          <w:sz w:val="24"/>
          <w:szCs w:val="24"/>
        </w:rPr>
        <w:t>under</w:t>
      </w:r>
      <w:r w:rsidR="001A5735" w:rsidRPr="004A4113">
        <w:rPr>
          <w:rFonts w:cstheme="minorHAnsi"/>
          <w:sz w:val="24"/>
          <w:szCs w:val="24"/>
        </w:rPr>
        <w:t>taken will involve both taking possession and sale</w:t>
      </w:r>
      <w:r w:rsidR="002574C1" w:rsidRPr="004A4113">
        <w:rPr>
          <w:rFonts w:cstheme="minorHAnsi"/>
          <w:sz w:val="24"/>
          <w:szCs w:val="24"/>
        </w:rPr>
        <w:t>,</w:t>
      </w:r>
      <w:r w:rsidR="001A5735" w:rsidRPr="004A4113">
        <w:rPr>
          <w:rFonts w:cstheme="minorHAnsi"/>
          <w:sz w:val="24"/>
          <w:szCs w:val="24"/>
        </w:rPr>
        <w:t xml:space="preserve"> the two </w:t>
      </w:r>
      <w:r w:rsidR="002574C1" w:rsidRPr="004A4113">
        <w:rPr>
          <w:rFonts w:cstheme="minorHAnsi"/>
          <w:sz w:val="24"/>
          <w:szCs w:val="24"/>
        </w:rPr>
        <w:t>being</w:t>
      </w:r>
      <w:r w:rsidR="001A5735" w:rsidRPr="004A4113">
        <w:rPr>
          <w:rFonts w:cstheme="minorHAnsi"/>
          <w:sz w:val="24"/>
          <w:szCs w:val="24"/>
        </w:rPr>
        <w:t xml:space="preserve"> used in combination. Although it is noted that the power </w:t>
      </w:r>
      <w:r w:rsidR="0074769F" w:rsidRPr="004A4113">
        <w:rPr>
          <w:rFonts w:cstheme="minorHAnsi"/>
          <w:sz w:val="24"/>
          <w:szCs w:val="24"/>
        </w:rPr>
        <w:t>of</w:t>
      </w:r>
      <w:r w:rsidR="001A5735" w:rsidRPr="004A4113">
        <w:rPr>
          <w:rFonts w:cstheme="minorHAnsi"/>
          <w:sz w:val="24"/>
          <w:szCs w:val="24"/>
        </w:rPr>
        <w:t xml:space="preserve"> sale could be used without a court order</w:t>
      </w:r>
      <w:r w:rsidR="0074769F" w:rsidRPr="004A4113">
        <w:rPr>
          <w:rFonts w:cstheme="minorHAnsi"/>
          <w:sz w:val="24"/>
          <w:szCs w:val="24"/>
        </w:rPr>
        <w:t xml:space="preserve">, </w:t>
      </w:r>
      <w:proofErr w:type="gramStart"/>
      <w:r w:rsidR="004A41BF" w:rsidRPr="004A4113">
        <w:rPr>
          <w:rFonts w:cstheme="minorHAnsi"/>
          <w:sz w:val="24"/>
          <w:szCs w:val="24"/>
        </w:rPr>
        <w:t>in reality this</w:t>
      </w:r>
      <w:proofErr w:type="gramEnd"/>
      <w:r w:rsidR="004A41BF" w:rsidRPr="004A4113">
        <w:rPr>
          <w:rFonts w:cstheme="minorHAnsi"/>
          <w:sz w:val="24"/>
          <w:szCs w:val="24"/>
        </w:rPr>
        <w:t xml:space="preserve"> is not pursued</w:t>
      </w:r>
      <w:r w:rsidR="0074769F" w:rsidRPr="004A4113">
        <w:rPr>
          <w:rFonts w:cstheme="minorHAnsi"/>
          <w:sz w:val="24"/>
          <w:szCs w:val="24"/>
        </w:rPr>
        <w:t>,</w:t>
      </w:r>
      <w:r w:rsidR="004A41BF" w:rsidRPr="004A4113">
        <w:rPr>
          <w:rFonts w:cstheme="minorHAnsi"/>
          <w:sz w:val="24"/>
          <w:szCs w:val="24"/>
        </w:rPr>
        <w:t xml:space="preserve"> and Trinity is more likely to look at obtaining possession before looking at a sale of the property. </w:t>
      </w:r>
    </w:p>
    <w:p w14:paraId="3B8825CE" w14:textId="77777777" w:rsidR="004A41BF" w:rsidRPr="004A4113" w:rsidRDefault="004A41BF" w:rsidP="00E37245">
      <w:pPr>
        <w:spacing w:line="480" w:lineRule="auto"/>
        <w:jc w:val="both"/>
        <w:rPr>
          <w:rFonts w:cstheme="minorHAnsi"/>
          <w:sz w:val="24"/>
          <w:szCs w:val="24"/>
        </w:rPr>
      </w:pPr>
      <w:r w:rsidRPr="004A4113">
        <w:rPr>
          <w:rFonts w:cstheme="minorHAnsi"/>
          <w:sz w:val="24"/>
          <w:szCs w:val="24"/>
        </w:rPr>
        <w:t xml:space="preserve">Every mortgage has the power of sale by virtue of the </w:t>
      </w:r>
      <w:r w:rsidR="00E85DB9" w:rsidRPr="004A4113">
        <w:rPr>
          <w:rFonts w:cstheme="minorHAnsi"/>
          <w:i/>
          <w:iCs/>
          <w:sz w:val="24"/>
          <w:szCs w:val="24"/>
        </w:rPr>
        <w:t>L</w:t>
      </w:r>
      <w:r w:rsidRPr="004A4113">
        <w:rPr>
          <w:rFonts w:cstheme="minorHAnsi"/>
          <w:i/>
          <w:iCs/>
          <w:sz w:val="24"/>
          <w:szCs w:val="24"/>
        </w:rPr>
        <w:t xml:space="preserve">aw of </w:t>
      </w:r>
      <w:r w:rsidR="00E85DB9" w:rsidRPr="004A4113">
        <w:rPr>
          <w:rFonts w:cstheme="minorHAnsi"/>
          <w:i/>
          <w:iCs/>
          <w:sz w:val="24"/>
          <w:szCs w:val="24"/>
        </w:rPr>
        <w:t>Property</w:t>
      </w:r>
      <w:r w:rsidRPr="004A4113">
        <w:rPr>
          <w:rFonts w:cstheme="minorHAnsi"/>
          <w:i/>
          <w:iCs/>
          <w:sz w:val="24"/>
          <w:szCs w:val="24"/>
        </w:rPr>
        <w:t xml:space="preserve"> </w:t>
      </w:r>
      <w:r w:rsidR="00E85DB9" w:rsidRPr="004A4113">
        <w:rPr>
          <w:rFonts w:cstheme="minorHAnsi"/>
          <w:i/>
          <w:iCs/>
          <w:sz w:val="24"/>
          <w:szCs w:val="24"/>
        </w:rPr>
        <w:t>A</w:t>
      </w:r>
      <w:r w:rsidRPr="004A4113">
        <w:rPr>
          <w:rFonts w:cstheme="minorHAnsi"/>
          <w:i/>
          <w:iCs/>
          <w:sz w:val="24"/>
          <w:szCs w:val="24"/>
        </w:rPr>
        <w:t>ct 1925</w:t>
      </w:r>
      <w:r w:rsidRPr="004A4113">
        <w:rPr>
          <w:rFonts w:cstheme="minorHAnsi"/>
          <w:sz w:val="24"/>
          <w:szCs w:val="24"/>
        </w:rPr>
        <w:t xml:space="preserve"> section 101. The power of sale occurs in accordance with section 103 where the notice requiring payment has not been complied with for a period of three months or interest is at least two months in arears or there has been a breach of express covenant. As the power has arisen for sale</w:t>
      </w:r>
      <w:r w:rsidR="0074769F" w:rsidRPr="004A4113">
        <w:rPr>
          <w:rFonts w:cstheme="minorHAnsi"/>
          <w:sz w:val="24"/>
          <w:szCs w:val="24"/>
        </w:rPr>
        <w:t>,</w:t>
      </w:r>
      <w:r w:rsidRPr="004A4113">
        <w:rPr>
          <w:rFonts w:cstheme="minorHAnsi"/>
          <w:sz w:val="24"/>
          <w:szCs w:val="24"/>
        </w:rPr>
        <w:t xml:space="preserve"> even if it has not been exercised</w:t>
      </w:r>
      <w:r w:rsidR="0074769F" w:rsidRPr="004A4113">
        <w:rPr>
          <w:rFonts w:cstheme="minorHAnsi"/>
          <w:sz w:val="24"/>
          <w:szCs w:val="24"/>
        </w:rPr>
        <w:t>,</w:t>
      </w:r>
      <w:r w:rsidRPr="004A4113">
        <w:rPr>
          <w:rFonts w:cstheme="minorHAnsi"/>
          <w:sz w:val="24"/>
          <w:szCs w:val="24"/>
        </w:rPr>
        <w:t xml:space="preserve"> this would impact on the purchaser in good faith</w:t>
      </w:r>
      <w:r w:rsidR="00E85DB9" w:rsidRPr="004A4113">
        <w:rPr>
          <w:rFonts w:cstheme="minorHAnsi"/>
          <w:sz w:val="24"/>
          <w:szCs w:val="24"/>
        </w:rPr>
        <w:t xml:space="preserve"> and would be applicable against them</w:t>
      </w:r>
      <w:r w:rsidR="0074769F" w:rsidRPr="004A4113">
        <w:rPr>
          <w:rFonts w:cstheme="minorHAnsi"/>
          <w:sz w:val="24"/>
          <w:szCs w:val="24"/>
        </w:rPr>
        <w:t>,</w:t>
      </w:r>
      <w:r w:rsidR="00E85DB9" w:rsidRPr="004A4113">
        <w:rPr>
          <w:rFonts w:cstheme="minorHAnsi"/>
          <w:sz w:val="24"/>
          <w:szCs w:val="24"/>
        </w:rPr>
        <w:t xml:space="preserve"> meaning that simply allowing the sale to the developer would not be a viable option. </w:t>
      </w:r>
    </w:p>
    <w:p w14:paraId="711F1DC3" w14:textId="77777777" w:rsidR="00E85DB9" w:rsidRPr="004A4113" w:rsidRDefault="00E85DB9" w:rsidP="00E37245">
      <w:pPr>
        <w:spacing w:line="480" w:lineRule="auto"/>
        <w:jc w:val="both"/>
        <w:rPr>
          <w:rFonts w:cstheme="minorHAnsi"/>
          <w:sz w:val="24"/>
          <w:szCs w:val="24"/>
        </w:rPr>
      </w:pPr>
      <w:r w:rsidRPr="004A4113">
        <w:rPr>
          <w:rFonts w:cstheme="minorHAnsi"/>
          <w:sz w:val="24"/>
          <w:szCs w:val="24"/>
        </w:rPr>
        <w:t xml:space="preserve">Where a property is being sold by the mortgagee, Trinity, then </w:t>
      </w:r>
      <w:r w:rsidR="0074769F" w:rsidRPr="004A4113">
        <w:rPr>
          <w:rFonts w:cstheme="minorHAnsi"/>
          <w:sz w:val="24"/>
          <w:szCs w:val="24"/>
        </w:rPr>
        <w:t>it is</w:t>
      </w:r>
      <w:r w:rsidRPr="004A4113">
        <w:rPr>
          <w:rFonts w:cstheme="minorHAnsi"/>
          <w:sz w:val="24"/>
          <w:szCs w:val="24"/>
        </w:rPr>
        <w:t xml:space="preserve"> under a duty to act in good faith in terms of obtaining the best possible price for the property. In accordance with the </w:t>
      </w:r>
      <w:r w:rsidRPr="004A4113">
        <w:rPr>
          <w:rFonts w:cstheme="minorHAnsi"/>
          <w:sz w:val="24"/>
          <w:szCs w:val="24"/>
        </w:rPr>
        <w:lastRenderedPageBreak/>
        <w:t xml:space="preserve">leading case of </w:t>
      </w:r>
      <w:r w:rsidRPr="004A4113">
        <w:rPr>
          <w:rFonts w:cstheme="minorHAnsi"/>
          <w:i/>
          <w:iCs/>
          <w:sz w:val="24"/>
          <w:szCs w:val="24"/>
        </w:rPr>
        <w:t>Meah v G</w:t>
      </w:r>
      <w:r w:rsidR="0074769F" w:rsidRPr="004A4113">
        <w:rPr>
          <w:rFonts w:cstheme="minorHAnsi"/>
          <w:i/>
          <w:iCs/>
          <w:sz w:val="24"/>
          <w:szCs w:val="24"/>
        </w:rPr>
        <w:t>E</w:t>
      </w:r>
      <w:r w:rsidRPr="004A4113">
        <w:rPr>
          <w:rFonts w:cstheme="minorHAnsi"/>
          <w:i/>
          <w:iCs/>
          <w:sz w:val="24"/>
          <w:szCs w:val="24"/>
        </w:rPr>
        <w:t xml:space="preserve"> Money Home Finance Ltd </w:t>
      </w:r>
      <w:r w:rsidRPr="004A4113">
        <w:rPr>
          <w:rFonts w:cstheme="minorHAnsi"/>
          <w:sz w:val="24"/>
          <w:szCs w:val="24"/>
        </w:rPr>
        <w:t>in 2013</w:t>
      </w:r>
      <w:r w:rsidR="0074769F" w:rsidRPr="004A4113">
        <w:rPr>
          <w:rFonts w:cstheme="minorHAnsi"/>
          <w:sz w:val="24"/>
          <w:szCs w:val="24"/>
        </w:rPr>
        <w:t>,</w:t>
      </w:r>
      <w:r w:rsidR="003A025C" w:rsidRPr="004A4113">
        <w:rPr>
          <w:rFonts w:cstheme="minorHAnsi"/>
          <w:sz w:val="24"/>
          <w:szCs w:val="24"/>
        </w:rPr>
        <w:t xml:space="preserve"> the bank had obtained several valuations for the property and the property ultimately sold following several publications in the newspaper and a developer coming forward. The developer then obtained planning permission</w:t>
      </w:r>
      <w:r w:rsidR="0074769F" w:rsidRPr="004A4113">
        <w:rPr>
          <w:rFonts w:cstheme="minorHAnsi"/>
          <w:sz w:val="24"/>
          <w:szCs w:val="24"/>
        </w:rPr>
        <w:t>,</w:t>
      </w:r>
      <w:r w:rsidR="003A025C" w:rsidRPr="004A4113">
        <w:rPr>
          <w:rFonts w:cstheme="minorHAnsi"/>
          <w:sz w:val="24"/>
          <w:szCs w:val="24"/>
        </w:rPr>
        <w:t xml:space="preserve"> which naturally meant the property was considerably more valuable</w:t>
      </w:r>
      <w:r w:rsidR="0074769F" w:rsidRPr="004A4113">
        <w:rPr>
          <w:rFonts w:cstheme="minorHAnsi"/>
          <w:sz w:val="24"/>
          <w:szCs w:val="24"/>
        </w:rPr>
        <w:t>.</w:t>
      </w:r>
      <w:r w:rsidR="003A025C" w:rsidRPr="004A4113">
        <w:rPr>
          <w:rFonts w:cstheme="minorHAnsi"/>
          <w:sz w:val="24"/>
          <w:szCs w:val="24"/>
        </w:rPr>
        <w:t xml:space="preserve"> Meah then arg</w:t>
      </w:r>
      <w:r w:rsidR="000F558E" w:rsidRPr="004A4113">
        <w:rPr>
          <w:rFonts w:cstheme="minorHAnsi"/>
          <w:sz w:val="24"/>
          <w:szCs w:val="24"/>
        </w:rPr>
        <w:t>u</w:t>
      </w:r>
      <w:r w:rsidR="0074769F" w:rsidRPr="004A4113">
        <w:rPr>
          <w:rFonts w:cstheme="minorHAnsi"/>
          <w:sz w:val="24"/>
          <w:szCs w:val="24"/>
        </w:rPr>
        <w:t>ed</w:t>
      </w:r>
      <w:r w:rsidR="003A025C" w:rsidRPr="004A4113">
        <w:rPr>
          <w:rFonts w:cstheme="minorHAnsi"/>
          <w:sz w:val="24"/>
          <w:szCs w:val="24"/>
        </w:rPr>
        <w:t xml:space="preserve"> that the bank had failed to obtain the bes</w:t>
      </w:r>
      <w:r w:rsidR="000F558E" w:rsidRPr="004A4113">
        <w:rPr>
          <w:rFonts w:cstheme="minorHAnsi"/>
          <w:sz w:val="24"/>
          <w:szCs w:val="24"/>
        </w:rPr>
        <w:t xml:space="preserve">t possible price for the property. It was held in this case that the property had been given the appropriate exposure to the market and therefore the best price had been obtained. </w:t>
      </w:r>
      <w:r w:rsidR="0074769F" w:rsidRPr="004A4113">
        <w:rPr>
          <w:rFonts w:cstheme="minorHAnsi"/>
          <w:sz w:val="24"/>
          <w:szCs w:val="24"/>
        </w:rPr>
        <w:t>However, t</w:t>
      </w:r>
      <w:r w:rsidR="000F558E" w:rsidRPr="004A4113">
        <w:rPr>
          <w:rFonts w:cstheme="minorHAnsi"/>
          <w:sz w:val="24"/>
          <w:szCs w:val="24"/>
        </w:rPr>
        <w:t xml:space="preserve">he case did raise the point that sales particulars need to </w:t>
      </w:r>
      <w:r w:rsidR="0074769F" w:rsidRPr="004A4113">
        <w:rPr>
          <w:rFonts w:cstheme="minorHAnsi"/>
          <w:sz w:val="24"/>
          <w:szCs w:val="24"/>
        </w:rPr>
        <w:t>al</w:t>
      </w:r>
      <w:r w:rsidR="000F558E" w:rsidRPr="004A4113">
        <w:rPr>
          <w:rFonts w:cstheme="minorHAnsi"/>
          <w:sz w:val="24"/>
          <w:szCs w:val="24"/>
        </w:rPr>
        <w:t xml:space="preserve">lude to matters such as development potential </w:t>
      </w:r>
      <w:proofErr w:type="gramStart"/>
      <w:r w:rsidR="000F558E" w:rsidRPr="004A4113">
        <w:rPr>
          <w:rFonts w:cstheme="minorHAnsi"/>
          <w:sz w:val="24"/>
          <w:szCs w:val="24"/>
        </w:rPr>
        <w:t>in order to</w:t>
      </w:r>
      <w:proofErr w:type="gramEnd"/>
      <w:r w:rsidR="000F558E" w:rsidRPr="004A4113">
        <w:rPr>
          <w:rFonts w:cstheme="minorHAnsi"/>
          <w:sz w:val="24"/>
          <w:szCs w:val="24"/>
        </w:rPr>
        <w:t xml:space="preserve"> </w:t>
      </w:r>
      <w:r w:rsidR="0074769F" w:rsidRPr="004A4113">
        <w:rPr>
          <w:rFonts w:cstheme="minorHAnsi"/>
          <w:sz w:val="24"/>
          <w:szCs w:val="24"/>
        </w:rPr>
        <w:t>secure</w:t>
      </w:r>
      <w:r w:rsidR="000F558E" w:rsidRPr="004A4113">
        <w:rPr>
          <w:rFonts w:cstheme="minorHAnsi"/>
          <w:sz w:val="24"/>
          <w:szCs w:val="24"/>
        </w:rPr>
        <w:t xml:space="preserve"> the best possible price. </w:t>
      </w:r>
    </w:p>
    <w:p w14:paraId="51C5A38C" w14:textId="77777777" w:rsidR="000F558E" w:rsidRPr="004A4113" w:rsidRDefault="000F558E" w:rsidP="00E37245">
      <w:pPr>
        <w:spacing w:line="480" w:lineRule="auto"/>
        <w:jc w:val="both"/>
        <w:rPr>
          <w:rFonts w:cstheme="minorHAnsi"/>
          <w:sz w:val="24"/>
          <w:szCs w:val="24"/>
        </w:rPr>
      </w:pPr>
      <w:r w:rsidRPr="004A4113">
        <w:rPr>
          <w:rFonts w:cstheme="minorHAnsi"/>
          <w:sz w:val="24"/>
          <w:szCs w:val="24"/>
        </w:rPr>
        <w:t xml:space="preserve">Trinity has the right to possess the land </w:t>
      </w:r>
      <w:proofErr w:type="gramStart"/>
      <w:r w:rsidRPr="004A4113">
        <w:rPr>
          <w:rFonts w:cstheme="minorHAnsi"/>
          <w:sz w:val="24"/>
          <w:szCs w:val="24"/>
        </w:rPr>
        <w:t>as a result of</w:t>
      </w:r>
      <w:proofErr w:type="gramEnd"/>
      <w:r w:rsidRPr="004A4113">
        <w:rPr>
          <w:rFonts w:cstheme="minorHAnsi"/>
          <w:sz w:val="24"/>
          <w:szCs w:val="24"/>
        </w:rPr>
        <w:t xml:space="preserve"> the default by Peter in accordance with section 87 of the 1925 Act (</w:t>
      </w:r>
      <w:r w:rsidRPr="004A4113">
        <w:rPr>
          <w:rFonts w:cstheme="minorHAnsi"/>
          <w:i/>
          <w:iCs/>
          <w:sz w:val="24"/>
          <w:szCs w:val="24"/>
        </w:rPr>
        <w:t>Four-Maids Ltd v Dudley Marshall Properties Ltd</w:t>
      </w:r>
      <w:r w:rsidRPr="004A4113">
        <w:rPr>
          <w:rFonts w:cstheme="minorHAnsi"/>
          <w:sz w:val="24"/>
          <w:szCs w:val="24"/>
        </w:rPr>
        <w:t xml:space="preserve"> </w:t>
      </w:r>
      <w:r w:rsidR="0074769F" w:rsidRPr="004A4113">
        <w:rPr>
          <w:rFonts w:cstheme="minorHAnsi"/>
          <w:sz w:val="24"/>
          <w:szCs w:val="24"/>
        </w:rPr>
        <w:t>[</w:t>
      </w:r>
      <w:r w:rsidRPr="004A4113">
        <w:rPr>
          <w:rFonts w:cstheme="minorHAnsi"/>
          <w:sz w:val="24"/>
          <w:szCs w:val="24"/>
        </w:rPr>
        <w:t>1957</w:t>
      </w:r>
      <w:r w:rsidR="0074769F" w:rsidRPr="004A4113">
        <w:rPr>
          <w:rFonts w:cstheme="minorHAnsi"/>
          <w:sz w:val="24"/>
          <w:szCs w:val="24"/>
        </w:rPr>
        <w:t>]</w:t>
      </w:r>
      <w:r w:rsidRPr="004A4113">
        <w:rPr>
          <w:rFonts w:cstheme="minorHAnsi"/>
          <w:sz w:val="24"/>
          <w:szCs w:val="24"/>
        </w:rPr>
        <w:t>). It is necessary to obtain possession peacefully prior to sale taking place</w:t>
      </w:r>
      <w:r w:rsidR="0074769F" w:rsidRPr="004A4113">
        <w:rPr>
          <w:rFonts w:cstheme="minorHAnsi"/>
          <w:sz w:val="24"/>
          <w:szCs w:val="24"/>
        </w:rPr>
        <w:t>,</w:t>
      </w:r>
      <w:r w:rsidRPr="004A4113">
        <w:rPr>
          <w:rFonts w:cstheme="minorHAnsi"/>
          <w:sz w:val="24"/>
          <w:szCs w:val="24"/>
        </w:rPr>
        <w:t xml:space="preserve"> and this would </w:t>
      </w:r>
      <w:r w:rsidR="0074769F" w:rsidRPr="004A4113">
        <w:rPr>
          <w:rFonts w:cstheme="minorHAnsi"/>
          <w:sz w:val="24"/>
          <w:szCs w:val="24"/>
        </w:rPr>
        <w:t xml:space="preserve">therefore </w:t>
      </w:r>
      <w:r w:rsidRPr="004A4113">
        <w:rPr>
          <w:rFonts w:cstheme="minorHAnsi"/>
          <w:sz w:val="24"/>
          <w:szCs w:val="24"/>
        </w:rPr>
        <w:t>likely be the first step taken by the bank (</w:t>
      </w:r>
      <w:r w:rsidRPr="004A4113">
        <w:rPr>
          <w:rFonts w:cstheme="minorHAnsi"/>
          <w:i/>
          <w:iCs/>
          <w:sz w:val="24"/>
          <w:szCs w:val="24"/>
        </w:rPr>
        <w:t>Criminal Law Act 1977</w:t>
      </w:r>
      <w:r w:rsidRPr="004A4113">
        <w:rPr>
          <w:rFonts w:cstheme="minorHAnsi"/>
          <w:sz w:val="24"/>
          <w:szCs w:val="24"/>
        </w:rPr>
        <w:t xml:space="preserve">). There are some </w:t>
      </w:r>
      <w:r w:rsidR="00020817" w:rsidRPr="004A4113">
        <w:rPr>
          <w:rFonts w:cstheme="minorHAnsi"/>
          <w:sz w:val="24"/>
          <w:szCs w:val="24"/>
        </w:rPr>
        <w:t>exceptions</w:t>
      </w:r>
      <w:r w:rsidRPr="004A4113">
        <w:rPr>
          <w:rFonts w:cstheme="minorHAnsi"/>
          <w:sz w:val="24"/>
          <w:szCs w:val="24"/>
        </w:rPr>
        <w:t xml:space="preserve"> where the </w:t>
      </w:r>
      <w:r w:rsidR="00020817" w:rsidRPr="004A4113">
        <w:rPr>
          <w:rFonts w:cstheme="minorHAnsi"/>
          <w:sz w:val="24"/>
          <w:szCs w:val="24"/>
        </w:rPr>
        <w:t xml:space="preserve">bank would not need to obtain a </w:t>
      </w:r>
      <w:r w:rsidR="00B32921" w:rsidRPr="004A4113">
        <w:rPr>
          <w:rFonts w:cstheme="minorHAnsi"/>
          <w:sz w:val="24"/>
          <w:szCs w:val="24"/>
        </w:rPr>
        <w:t>possession</w:t>
      </w:r>
      <w:r w:rsidR="00020817" w:rsidRPr="004A4113">
        <w:rPr>
          <w:rFonts w:cstheme="minorHAnsi"/>
          <w:sz w:val="24"/>
          <w:szCs w:val="24"/>
        </w:rPr>
        <w:t xml:space="preserve"> order prior to the sale of the property</w:t>
      </w:r>
      <w:r w:rsidR="0074769F" w:rsidRPr="004A4113">
        <w:rPr>
          <w:rFonts w:cstheme="minorHAnsi"/>
          <w:sz w:val="24"/>
          <w:szCs w:val="24"/>
        </w:rPr>
        <w:t>—</w:t>
      </w:r>
      <w:r w:rsidR="00020817" w:rsidRPr="004A4113">
        <w:rPr>
          <w:rFonts w:cstheme="minorHAnsi"/>
          <w:sz w:val="24"/>
          <w:szCs w:val="24"/>
        </w:rPr>
        <w:t>for example</w:t>
      </w:r>
      <w:r w:rsidR="0074769F" w:rsidRPr="004A4113">
        <w:rPr>
          <w:rFonts w:cstheme="minorHAnsi"/>
          <w:sz w:val="24"/>
          <w:szCs w:val="24"/>
        </w:rPr>
        <w:t>,</w:t>
      </w:r>
      <w:r w:rsidR="00020817" w:rsidRPr="004A4113">
        <w:rPr>
          <w:rFonts w:cstheme="minorHAnsi"/>
          <w:sz w:val="24"/>
          <w:szCs w:val="24"/>
        </w:rPr>
        <w:t xml:space="preserve"> where the property had been vacated (</w:t>
      </w:r>
      <w:r w:rsidR="00020817" w:rsidRPr="004A4113">
        <w:rPr>
          <w:rFonts w:cstheme="minorHAnsi"/>
          <w:i/>
          <w:iCs/>
          <w:sz w:val="24"/>
          <w:szCs w:val="24"/>
        </w:rPr>
        <w:t xml:space="preserve">Ropaigealach v Barclays Bank Plc </w:t>
      </w:r>
      <w:r w:rsidR="0074769F" w:rsidRPr="004A4113">
        <w:rPr>
          <w:rFonts w:cstheme="minorHAnsi"/>
          <w:sz w:val="24"/>
          <w:szCs w:val="24"/>
        </w:rPr>
        <w:t>[</w:t>
      </w:r>
      <w:r w:rsidR="00020817" w:rsidRPr="004A4113">
        <w:rPr>
          <w:rFonts w:cstheme="minorHAnsi"/>
          <w:sz w:val="24"/>
          <w:szCs w:val="24"/>
        </w:rPr>
        <w:t>2000</w:t>
      </w:r>
      <w:r w:rsidR="0074769F" w:rsidRPr="004A4113">
        <w:rPr>
          <w:rFonts w:cstheme="minorHAnsi"/>
          <w:sz w:val="24"/>
          <w:szCs w:val="24"/>
        </w:rPr>
        <w:t>]</w:t>
      </w:r>
      <w:r w:rsidR="00020817" w:rsidRPr="004A4113">
        <w:rPr>
          <w:rFonts w:cstheme="minorHAnsi"/>
          <w:sz w:val="24"/>
          <w:szCs w:val="24"/>
        </w:rPr>
        <w:t>).</w:t>
      </w:r>
    </w:p>
    <w:p w14:paraId="2620064E" w14:textId="27D9A960" w:rsidR="00B32921" w:rsidRPr="00B425BD" w:rsidRDefault="00B32921" w:rsidP="00E37245">
      <w:pPr>
        <w:spacing w:line="480" w:lineRule="auto"/>
        <w:jc w:val="both"/>
        <w:rPr>
          <w:rFonts w:cstheme="minorHAnsi"/>
          <w:sz w:val="24"/>
          <w:szCs w:val="24"/>
        </w:rPr>
      </w:pPr>
      <w:r w:rsidRPr="004A4113">
        <w:rPr>
          <w:rFonts w:cstheme="minorHAnsi"/>
          <w:sz w:val="24"/>
          <w:szCs w:val="24"/>
        </w:rPr>
        <w:t>There are some protections afforded to Peter where Trinity is seeking possession</w:t>
      </w:r>
      <w:r w:rsidR="00062073" w:rsidRPr="004A4113">
        <w:rPr>
          <w:rFonts w:cstheme="minorHAnsi"/>
          <w:sz w:val="24"/>
          <w:szCs w:val="24"/>
        </w:rPr>
        <w:t>,</w:t>
      </w:r>
      <w:r w:rsidRPr="004A4113">
        <w:rPr>
          <w:rFonts w:cstheme="minorHAnsi"/>
          <w:sz w:val="24"/>
          <w:szCs w:val="24"/>
        </w:rPr>
        <w:t xml:space="preserve"> including the </w:t>
      </w:r>
      <w:r w:rsidRPr="004A4113">
        <w:rPr>
          <w:rFonts w:cstheme="minorHAnsi"/>
          <w:i/>
          <w:iCs/>
          <w:sz w:val="24"/>
          <w:szCs w:val="24"/>
        </w:rPr>
        <w:t>Administration of Justice Act 1970</w:t>
      </w:r>
      <w:r w:rsidRPr="004A4113">
        <w:rPr>
          <w:rFonts w:cstheme="minorHAnsi"/>
          <w:sz w:val="24"/>
          <w:szCs w:val="24"/>
        </w:rPr>
        <w:t xml:space="preserve"> section 36 where the property is a residential dwelling. In particular</w:t>
      </w:r>
      <w:r w:rsidR="00062073" w:rsidRPr="004A4113">
        <w:rPr>
          <w:rFonts w:cstheme="minorHAnsi"/>
          <w:sz w:val="24"/>
          <w:szCs w:val="24"/>
        </w:rPr>
        <w:t>,</w:t>
      </w:r>
      <w:r w:rsidRPr="004A4113">
        <w:rPr>
          <w:rFonts w:cstheme="minorHAnsi"/>
          <w:sz w:val="24"/>
          <w:szCs w:val="24"/>
        </w:rPr>
        <w:t xml:space="preserve"> the court may postpone the date of possession or look to adjourn the proceedings or to stay or suspend the judgment where there is a likelihood that Peter will be able to pay off the arrears. In this case</w:t>
      </w:r>
      <w:r w:rsidR="00062073" w:rsidRPr="004A4113">
        <w:rPr>
          <w:rFonts w:cstheme="minorHAnsi"/>
          <w:sz w:val="24"/>
          <w:szCs w:val="24"/>
        </w:rPr>
        <w:t>,</w:t>
      </w:r>
      <w:r w:rsidRPr="004A4113">
        <w:rPr>
          <w:rFonts w:cstheme="minorHAnsi"/>
          <w:sz w:val="24"/>
          <w:szCs w:val="24"/>
        </w:rPr>
        <w:t xml:space="preserve"> for example</w:t>
      </w:r>
      <w:r w:rsidR="00062073" w:rsidRPr="004A4113">
        <w:rPr>
          <w:rFonts w:cstheme="minorHAnsi"/>
          <w:sz w:val="24"/>
          <w:szCs w:val="24"/>
        </w:rPr>
        <w:t>,</w:t>
      </w:r>
      <w:r w:rsidRPr="004A4113">
        <w:rPr>
          <w:rFonts w:cstheme="minorHAnsi"/>
          <w:sz w:val="24"/>
          <w:szCs w:val="24"/>
        </w:rPr>
        <w:t xml:space="preserve"> there is a willing purchaser</w:t>
      </w:r>
      <w:r w:rsidR="00062073" w:rsidRPr="004A4113">
        <w:rPr>
          <w:rFonts w:cstheme="minorHAnsi"/>
          <w:sz w:val="24"/>
          <w:szCs w:val="24"/>
        </w:rPr>
        <w:t>,</w:t>
      </w:r>
      <w:r w:rsidRPr="004A4113">
        <w:rPr>
          <w:rFonts w:cstheme="minorHAnsi"/>
          <w:sz w:val="24"/>
          <w:szCs w:val="24"/>
        </w:rPr>
        <w:t xml:space="preserve"> </w:t>
      </w:r>
      <w:r w:rsidR="006F6D9F" w:rsidRPr="00E37245">
        <w:rPr>
          <w:rFonts w:cstheme="minorHAnsi"/>
          <w:sz w:val="24"/>
          <w:szCs w:val="24"/>
        </w:rPr>
        <w:t>who</w:t>
      </w:r>
      <w:r w:rsidRPr="00B425BD">
        <w:rPr>
          <w:rFonts w:cstheme="minorHAnsi"/>
          <w:sz w:val="24"/>
          <w:szCs w:val="24"/>
        </w:rPr>
        <w:t xml:space="preserve"> would then potentially allow Peter to fully repay the mortgage. The case of </w:t>
      </w:r>
      <w:r w:rsidR="00A7593E" w:rsidRPr="00B425BD">
        <w:rPr>
          <w:rFonts w:cstheme="minorHAnsi"/>
          <w:i/>
          <w:iCs/>
          <w:sz w:val="24"/>
          <w:szCs w:val="24"/>
        </w:rPr>
        <w:t>Cheltenham and Gloucester Building Society v Norgan</w:t>
      </w:r>
      <w:r w:rsidR="00A7593E" w:rsidRPr="00B425BD">
        <w:rPr>
          <w:rFonts w:cstheme="minorHAnsi"/>
          <w:sz w:val="24"/>
          <w:szCs w:val="24"/>
        </w:rPr>
        <w:t xml:space="preserve"> in 1996 noted that the court should seek to support the </w:t>
      </w:r>
      <w:r w:rsidR="00A7593E" w:rsidRPr="00B425BD">
        <w:rPr>
          <w:rFonts w:cstheme="minorHAnsi"/>
          <w:sz w:val="24"/>
          <w:szCs w:val="24"/>
        </w:rPr>
        <w:lastRenderedPageBreak/>
        <w:t>mortgagor where possible</w:t>
      </w:r>
      <w:r w:rsidR="00062073" w:rsidRPr="00B425BD">
        <w:rPr>
          <w:rFonts w:cstheme="minorHAnsi"/>
          <w:sz w:val="24"/>
          <w:szCs w:val="24"/>
        </w:rPr>
        <w:t>,</w:t>
      </w:r>
      <w:r w:rsidR="00A7593E" w:rsidRPr="00B425BD">
        <w:rPr>
          <w:rFonts w:cstheme="minorHAnsi"/>
          <w:sz w:val="24"/>
          <w:szCs w:val="24"/>
        </w:rPr>
        <w:t xml:space="preserve"> putting Peter in a stronger position. However</w:t>
      </w:r>
      <w:r w:rsidR="00062073" w:rsidRPr="00B425BD">
        <w:rPr>
          <w:rFonts w:cstheme="minorHAnsi"/>
          <w:sz w:val="24"/>
          <w:szCs w:val="24"/>
        </w:rPr>
        <w:t>,</w:t>
      </w:r>
      <w:r w:rsidR="00A7593E" w:rsidRPr="00B425BD">
        <w:rPr>
          <w:rFonts w:cstheme="minorHAnsi"/>
          <w:sz w:val="24"/>
          <w:szCs w:val="24"/>
        </w:rPr>
        <w:t xml:space="preserve"> where there is no reasonable prospect of paying the mortgage off</w:t>
      </w:r>
      <w:r w:rsidR="00062073" w:rsidRPr="00B425BD">
        <w:rPr>
          <w:rFonts w:cstheme="minorHAnsi"/>
          <w:sz w:val="24"/>
          <w:szCs w:val="24"/>
        </w:rPr>
        <w:t>,</w:t>
      </w:r>
      <w:r w:rsidR="00A7593E" w:rsidRPr="00B425BD">
        <w:rPr>
          <w:rFonts w:cstheme="minorHAnsi"/>
          <w:sz w:val="24"/>
          <w:szCs w:val="24"/>
        </w:rPr>
        <w:t xml:space="preserve"> </w:t>
      </w:r>
      <w:r w:rsidR="00CB2CF0" w:rsidRPr="00B425BD">
        <w:rPr>
          <w:rFonts w:cstheme="minorHAnsi"/>
          <w:sz w:val="24"/>
          <w:szCs w:val="24"/>
        </w:rPr>
        <w:t xml:space="preserve">a stay in proceedings </w:t>
      </w:r>
      <w:r w:rsidR="00A7593E" w:rsidRPr="00B425BD">
        <w:rPr>
          <w:rFonts w:cstheme="minorHAnsi"/>
          <w:sz w:val="24"/>
          <w:szCs w:val="24"/>
        </w:rPr>
        <w:t xml:space="preserve">will </w:t>
      </w:r>
      <w:r w:rsidR="00CB2CF0" w:rsidRPr="00B425BD">
        <w:rPr>
          <w:rFonts w:cstheme="minorHAnsi"/>
          <w:sz w:val="24"/>
          <w:szCs w:val="24"/>
        </w:rPr>
        <w:t xml:space="preserve">be </w:t>
      </w:r>
      <w:r w:rsidR="00A7593E" w:rsidRPr="00B425BD">
        <w:rPr>
          <w:rFonts w:cstheme="minorHAnsi"/>
          <w:sz w:val="24"/>
          <w:szCs w:val="24"/>
        </w:rPr>
        <w:t>likely (</w:t>
      </w:r>
      <w:r w:rsidR="00A7593E" w:rsidRPr="00B425BD">
        <w:rPr>
          <w:rFonts w:cstheme="minorHAnsi"/>
          <w:i/>
          <w:iCs/>
          <w:sz w:val="24"/>
          <w:szCs w:val="24"/>
        </w:rPr>
        <w:t>Bristol and West plc v Ellis</w:t>
      </w:r>
      <w:r w:rsidR="00A7593E" w:rsidRPr="00B425BD">
        <w:rPr>
          <w:rFonts w:cstheme="minorHAnsi"/>
          <w:sz w:val="24"/>
          <w:szCs w:val="24"/>
        </w:rPr>
        <w:t xml:space="preserve"> </w:t>
      </w:r>
      <w:r w:rsidR="00CB2CF0" w:rsidRPr="00B425BD">
        <w:rPr>
          <w:rFonts w:cstheme="minorHAnsi"/>
          <w:sz w:val="24"/>
          <w:szCs w:val="24"/>
        </w:rPr>
        <w:t>[</w:t>
      </w:r>
      <w:r w:rsidR="00A7593E" w:rsidRPr="00B425BD">
        <w:rPr>
          <w:rFonts w:cstheme="minorHAnsi"/>
          <w:sz w:val="24"/>
          <w:szCs w:val="24"/>
        </w:rPr>
        <w:t>1997</w:t>
      </w:r>
      <w:r w:rsidR="00CB2CF0" w:rsidRPr="00B425BD">
        <w:rPr>
          <w:rFonts w:cstheme="minorHAnsi"/>
          <w:sz w:val="24"/>
          <w:szCs w:val="24"/>
        </w:rPr>
        <w:t>]</w:t>
      </w:r>
      <w:r w:rsidR="00A7593E" w:rsidRPr="00B425BD">
        <w:rPr>
          <w:rFonts w:cstheme="minorHAnsi"/>
          <w:sz w:val="24"/>
          <w:szCs w:val="24"/>
        </w:rPr>
        <w:t>).</w:t>
      </w:r>
    </w:p>
    <w:p w14:paraId="359EAD03" w14:textId="77777777" w:rsidR="00C413A8" w:rsidRPr="00B425BD" w:rsidRDefault="00A7593E" w:rsidP="00E37245">
      <w:pPr>
        <w:spacing w:line="480" w:lineRule="auto"/>
        <w:jc w:val="both"/>
        <w:rPr>
          <w:rFonts w:cstheme="minorHAnsi"/>
          <w:b/>
          <w:bCs/>
          <w:sz w:val="24"/>
          <w:szCs w:val="24"/>
        </w:rPr>
      </w:pPr>
      <w:r w:rsidRPr="00B425BD">
        <w:rPr>
          <w:rFonts w:cstheme="minorHAnsi"/>
          <w:b/>
          <w:bCs/>
          <w:sz w:val="24"/>
          <w:szCs w:val="24"/>
        </w:rPr>
        <w:t>Conclusions</w:t>
      </w:r>
    </w:p>
    <w:p w14:paraId="23601B4B" w14:textId="77777777" w:rsidR="004A41BF" w:rsidRPr="00B425BD" w:rsidRDefault="004A41BF" w:rsidP="00E37245">
      <w:pPr>
        <w:spacing w:line="480" w:lineRule="auto"/>
        <w:jc w:val="both"/>
        <w:rPr>
          <w:rFonts w:cstheme="minorHAnsi"/>
          <w:sz w:val="24"/>
          <w:szCs w:val="24"/>
        </w:rPr>
      </w:pPr>
      <w:r w:rsidRPr="00B425BD">
        <w:rPr>
          <w:rFonts w:cstheme="minorHAnsi"/>
          <w:sz w:val="24"/>
          <w:szCs w:val="24"/>
        </w:rPr>
        <w:t xml:space="preserve">In accordance with section </w:t>
      </w:r>
      <w:proofErr w:type="gramStart"/>
      <w:r w:rsidRPr="00B425BD">
        <w:rPr>
          <w:rFonts w:cstheme="minorHAnsi"/>
          <w:sz w:val="24"/>
          <w:szCs w:val="24"/>
        </w:rPr>
        <w:t>103</w:t>
      </w:r>
      <w:r w:rsidR="00CB2CF0" w:rsidRPr="00B425BD">
        <w:rPr>
          <w:rFonts w:cstheme="minorHAnsi"/>
          <w:sz w:val="24"/>
          <w:szCs w:val="24"/>
        </w:rPr>
        <w:t>,</w:t>
      </w:r>
      <w:r w:rsidRPr="00B425BD">
        <w:rPr>
          <w:rFonts w:cstheme="minorHAnsi"/>
          <w:sz w:val="24"/>
          <w:szCs w:val="24"/>
        </w:rPr>
        <w:t xml:space="preserve"> and</w:t>
      </w:r>
      <w:proofErr w:type="gramEnd"/>
      <w:r w:rsidRPr="00B425BD">
        <w:rPr>
          <w:rFonts w:cstheme="minorHAnsi"/>
          <w:sz w:val="24"/>
          <w:szCs w:val="24"/>
        </w:rPr>
        <w:t xml:space="preserve"> given that Peter is six months in arrears and therefore the power of sale </w:t>
      </w:r>
      <w:r w:rsidR="00CB2CF0" w:rsidRPr="00B425BD">
        <w:rPr>
          <w:rFonts w:cstheme="minorHAnsi"/>
          <w:sz w:val="24"/>
          <w:szCs w:val="24"/>
        </w:rPr>
        <w:t>r</w:t>
      </w:r>
      <w:r w:rsidRPr="00B425BD">
        <w:rPr>
          <w:rFonts w:cstheme="minorHAnsi"/>
          <w:sz w:val="24"/>
          <w:szCs w:val="24"/>
        </w:rPr>
        <w:t>ests with Trinity</w:t>
      </w:r>
      <w:r w:rsidR="00CB2CF0" w:rsidRPr="00B425BD">
        <w:rPr>
          <w:rFonts w:cstheme="minorHAnsi"/>
          <w:sz w:val="24"/>
          <w:szCs w:val="24"/>
        </w:rPr>
        <w:t>,</w:t>
      </w:r>
      <w:r w:rsidR="00E85DB9" w:rsidRPr="00B425BD">
        <w:rPr>
          <w:rFonts w:cstheme="minorHAnsi"/>
          <w:sz w:val="24"/>
          <w:szCs w:val="24"/>
        </w:rPr>
        <w:t xml:space="preserve"> this would impact on the developer. </w:t>
      </w:r>
      <w:r w:rsidR="00A7593E" w:rsidRPr="00B425BD">
        <w:rPr>
          <w:rFonts w:cstheme="minorHAnsi"/>
          <w:sz w:val="24"/>
          <w:szCs w:val="24"/>
        </w:rPr>
        <w:t xml:space="preserve">It is necessary for Peter to deal with the matter in advance of making the sale. </w:t>
      </w:r>
    </w:p>
    <w:p w14:paraId="3903BF7F" w14:textId="0A2E9028" w:rsidR="00A7593E" w:rsidRPr="00B425BD" w:rsidRDefault="00A7593E" w:rsidP="00E37245">
      <w:pPr>
        <w:spacing w:line="480" w:lineRule="auto"/>
        <w:jc w:val="both"/>
        <w:rPr>
          <w:rFonts w:cstheme="minorHAnsi"/>
          <w:sz w:val="24"/>
          <w:szCs w:val="24"/>
        </w:rPr>
      </w:pPr>
      <w:r w:rsidRPr="00B425BD">
        <w:rPr>
          <w:rFonts w:cstheme="minorHAnsi"/>
          <w:sz w:val="24"/>
          <w:szCs w:val="24"/>
        </w:rPr>
        <w:t xml:space="preserve">Trinity would have the right to commence possession proceedings with a view </w:t>
      </w:r>
      <w:r w:rsidR="00235ED8" w:rsidRPr="00B425BD">
        <w:rPr>
          <w:rFonts w:cstheme="minorHAnsi"/>
          <w:sz w:val="24"/>
          <w:szCs w:val="24"/>
        </w:rPr>
        <w:t>to</w:t>
      </w:r>
      <w:r w:rsidRPr="00B425BD">
        <w:rPr>
          <w:rFonts w:cstheme="minorHAnsi"/>
          <w:sz w:val="24"/>
          <w:szCs w:val="24"/>
        </w:rPr>
        <w:t xml:space="preserve"> then selling the property. It would be necessary for Trinity to act with good faith </w:t>
      </w:r>
      <w:proofErr w:type="gramStart"/>
      <w:r w:rsidRPr="00B425BD">
        <w:rPr>
          <w:rFonts w:cstheme="minorHAnsi"/>
          <w:sz w:val="24"/>
          <w:szCs w:val="24"/>
        </w:rPr>
        <w:t>in order to</w:t>
      </w:r>
      <w:proofErr w:type="gramEnd"/>
      <w:r w:rsidRPr="00B425BD">
        <w:rPr>
          <w:rFonts w:cstheme="minorHAnsi"/>
          <w:sz w:val="24"/>
          <w:szCs w:val="24"/>
        </w:rPr>
        <w:t xml:space="preserve"> try and obtain the best possible price it could reasonably be expected to obtain. The fact that the property is a farm with 20 acres means that there is potentially </w:t>
      </w:r>
      <w:r w:rsidR="00235ED8" w:rsidRPr="00B425BD">
        <w:rPr>
          <w:rFonts w:cstheme="minorHAnsi"/>
          <w:sz w:val="24"/>
          <w:szCs w:val="24"/>
        </w:rPr>
        <w:t xml:space="preserve">a </w:t>
      </w:r>
      <w:r w:rsidRPr="00B425BD">
        <w:rPr>
          <w:rFonts w:cstheme="minorHAnsi"/>
          <w:sz w:val="24"/>
          <w:szCs w:val="24"/>
        </w:rPr>
        <w:t>development opportunit</w:t>
      </w:r>
      <w:r w:rsidR="00235ED8" w:rsidRPr="00B425BD">
        <w:rPr>
          <w:rFonts w:cstheme="minorHAnsi"/>
          <w:sz w:val="24"/>
          <w:szCs w:val="24"/>
        </w:rPr>
        <w:t>y;</w:t>
      </w:r>
      <w:r w:rsidRPr="00B425BD">
        <w:rPr>
          <w:rFonts w:cstheme="minorHAnsi"/>
          <w:sz w:val="24"/>
          <w:szCs w:val="24"/>
        </w:rPr>
        <w:t xml:space="preserve"> as such</w:t>
      </w:r>
      <w:r w:rsidR="00235ED8" w:rsidRPr="00B425BD">
        <w:rPr>
          <w:rFonts w:cstheme="minorHAnsi"/>
          <w:sz w:val="24"/>
          <w:szCs w:val="24"/>
        </w:rPr>
        <w:t>,</w:t>
      </w:r>
      <w:r w:rsidRPr="00B425BD">
        <w:rPr>
          <w:rFonts w:cstheme="minorHAnsi"/>
          <w:sz w:val="24"/>
          <w:szCs w:val="24"/>
        </w:rPr>
        <w:t xml:space="preserve"> care would need to be taken by Trinity to ensure that the </w:t>
      </w:r>
      <w:r w:rsidR="0063698E" w:rsidRPr="00B425BD">
        <w:rPr>
          <w:rFonts w:cstheme="minorHAnsi"/>
          <w:sz w:val="24"/>
          <w:szCs w:val="24"/>
        </w:rPr>
        <w:t xml:space="preserve">particulars appropriately detailed the opportunities </w:t>
      </w:r>
      <w:r w:rsidR="006F6D9F" w:rsidRPr="00E37245">
        <w:rPr>
          <w:rFonts w:cstheme="minorHAnsi"/>
          <w:sz w:val="24"/>
          <w:szCs w:val="24"/>
        </w:rPr>
        <w:t>to</w:t>
      </w:r>
      <w:r w:rsidR="0063698E" w:rsidRPr="00B425BD">
        <w:rPr>
          <w:rFonts w:cstheme="minorHAnsi"/>
          <w:sz w:val="24"/>
          <w:szCs w:val="24"/>
        </w:rPr>
        <w:t xml:space="preserve"> obtain the best </w:t>
      </w:r>
      <w:r w:rsidR="00235ED8" w:rsidRPr="00B425BD">
        <w:rPr>
          <w:rFonts w:cstheme="minorHAnsi"/>
          <w:sz w:val="24"/>
          <w:szCs w:val="24"/>
        </w:rPr>
        <w:t>possible</w:t>
      </w:r>
      <w:r w:rsidR="0063698E" w:rsidRPr="00B425BD">
        <w:rPr>
          <w:rFonts w:cstheme="minorHAnsi"/>
          <w:sz w:val="24"/>
          <w:szCs w:val="24"/>
        </w:rPr>
        <w:t xml:space="preserve"> price. </w:t>
      </w:r>
    </w:p>
    <w:p w14:paraId="5FD64E44" w14:textId="168D929F" w:rsidR="00C413A8" w:rsidRPr="00B425BD" w:rsidRDefault="00235ED8" w:rsidP="00E37245">
      <w:pPr>
        <w:spacing w:line="480" w:lineRule="auto"/>
        <w:jc w:val="both"/>
        <w:rPr>
          <w:rFonts w:cstheme="minorHAnsi"/>
          <w:sz w:val="24"/>
          <w:szCs w:val="24"/>
        </w:rPr>
      </w:pPr>
      <w:r w:rsidRPr="00B425BD">
        <w:rPr>
          <w:rFonts w:cstheme="minorHAnsi"/>
          <w:sz w:val="24"/>
          <w:szCs w:val="24"/>
        </w:rPr>
        <w:t>T</w:t>
      </w:r>
      <w:r w:rsidR="004A41BF" w:rsidRPr="00B425BD">
        <w:rPr>
          <w:rFonts w:cstheme="minorHAnsi"/>
          <w:sz w:val="24"/>
          <w:szCs w:val="24"/>
        </w:rPr>
        <w:t xml:space="preserve">here is a willing buyer of the </w:t>
      </w:r>
      <w:r w:rsidR="006F6D9F" w:rsidRPr="00E37245">
        <w:rPr>
          <w:rFonts w:cstheme="minorHAnsi"/>
          <w:sz w:val="24"/>
          <w:szCs w:val="24"/>
        </w:rPr>
        <w:t>farm,</w:t>
      </w:r>
      <w:r w:rsidR="004A41BF" w:rsidRPr="00B425BD">
        <w:rPr>
          <w:rFonts w:cstheme="minorHAnsi"/>
          <w:sz w:val="24"/>
          <w:szCs w:val="24"/>
        </w:rPr>
        <w:t xml:space="preserve"> and this is likely to produce the best financial result</w:t>
      </w:r>
      <w:r w:rsidR="0063698E" w:rsidRPr="00B425BD">
        <w:rPr>
          <w:rFonts w:cstheme="minorHAnsi"/>
          <w:sz w:val="24"/>
          <w:szCs w:val="24"/>
        </w:rPr>
        <w:t xml:space="preserve"> and would offer an opportunity for Peter to fully repay the mortgage (subject to the value of the property allowing for the mortgage to be repaid)</w:t>
      </w:r>
      <w:r w:rsidRPr="00B425BD">
        <w:rPr>
          <w:rFonts w:cstheme="minorHAnsi"/>
          <w:sz w:val="24"/>
          <w:szCs w:val="24"/>
        </w:rPr>
        <w:t>. As</w:t>
      </w:r>
      <w:r w:rsidR="0063698E" w:rsidRPr="00B425BD">
        <w:rPr>
          <w:rFonts w:cstheme="minorHAnsi"/>
          <w:sz w:val="24"/>
          <w:szCs w:val="24"/>
        </w:rPr>
        <w:t xml:space="preserve"> such, in accordance with the </w:t>
      </w:r>
      <w:r w:rsidR="0063698E" w:rsidRPr="00B425BD">
        <w:rPr>
          <w:rFonts w:cstheme="minorHAnsi"/>
          <w:i/>
          <w:iCs/>
          <w:sz w:val="24"/>
          <w:szCs w:val="24"/>
        </w:rPr>
        <w:t>Administration of Justice Act 1970</w:t>
      </w:r>
      <w:r w:rsidRPr="00B425BD">
        <w:rPr>
          <w:rFonts w:cstheme="minorHAnsi"/>
          <w:sz w:val="24"/>
          <w:szCs w:val="24"/>
        </w:rPr>
        <w:t xml:space="preserve">, </w:t>
      </w:r>
      <w:r w:rsidR="0063698E" w:rsidRPr="00B425BD">
        <w:rPr>
          <w:rFonts w:cstheme="minorHAnsi"/>
          <w:sz w:val="24"/>
          <w:szCs w:val="24"/>
        </w:rPr>
        <w:t xml:space="preserve">the court would be likely to favour Peter in delaying possession to allow the sale to be agreed and </w:t>
      </w:r>
      <w:r w:rsidRPr="00B425BD">
        <w:rPr>
          <w:rFonts w:cstheme="minorHAnsi"/>
          <w:sz w:val="24"/>
          <w:szCs w:val="24"/>
        </w:rPr>
        <w:t xml:space="preserve">the </w:t>
      </w:r>
      <w:r w:rsidR="0063698E" w:rsidRPr="00B425BD">
        <w:rPr>
          <w:rFonts w:cstheme="minorHAnsi"/>
          <w:sz w:val="24"/>
          <w:szCs w:val="24"/>
        </w:rPr>
        <w:t xml:space="preserve">mortgage repaid. </w:t>
      </w:r>
    </w:p>
    <w:p w14:paraId="3B856C75" w14:textId="77777777" w:rsidR="00235ED8" w:rsidRPr="00B425BD" w:rsidRDefault="00235ED8" w:rsidP="00E37245">
      <w:pPr>
        <w:spacing w:line="480" w:lineRule="auto"/>
        <w:rPr>
          <w:rFonts w:cstheme="minorHAnsi"/>
          <w:b/>
          <w:bCs/>
          <w:sz w:val="24"/>
          <w:szCs w:val="24"/>
          <w:u w:val="single"/>
        </w:rPr>
      </w:pPr>
      <w:r w:rsidRPr="00B425BD">
        <w:rPr>
          <w:rFonts w:cstheme="minorHAnsi"/>
          <w:b/>
          <w:bCs/>
          <w:sz w:val="24"/>
          <w:szCs w:val="24"/>
          <w:u w:val="single"/>
        </w:rPr>
        <w:br w:type="page"/>
      </w:r>
    </w:p>
    <w:p w14:paraId="089E919C" w14:textId="77777777" w:rsidR="00402AC6" w:rsidRPr="00B425BD" w:rsidRDefault="00402AC6" w:rsidP="00E37245">
      <w:pPr>
        <w:spacing w:line="480" w:lineRule="auto"/>
        <w:jc w:val="center"/>
        <w:rPr>
          <w:rFonts w:cstheme="minorHAnsi"/>
          <w:b/>
          <w:bCs/>
          <w:sz w:val="24"/>
          <w:szCs w:val="24"/>
          <w:u w:val="single"/>
        </w:rPr>
      </w:pPr>
      <w:r w:rsidRPr="00B425BD">
        <w:rPr>
          <w:rFonts w:cstheme="minorHAnsi"/>
          <w:b/>
          <w:bCs/>
          <w:sz w:val="24"/>
          <w:szCs w:val="24"/>
          <w:u w:val="single"/>
        </w:rPr>
        <w:lastRenderedPageBreak/>
        <w:t>References</w:t>
      </w:r>
    </w:p>
    <w:p w14:paraId="4644BDA0" w14:textId="77777777" w:rsidR="006123AC" w:rsidRPr="00B425BD" w:rsidRDefault="006123AC" w:rsidP="00E37245">
      <w:pPr>
        <w:spacing w:line="480" w:lineRule="auto"/>
        <w:rPr>
          <w:rFonts w:cstheme="minorHAnsi"/>
          <w:b/>
          <w:bCs/>
          <w:sz w:val="24"/>
          <w:szCs w:val="24"/>
          <w:u w:val="single"/>
        </w:rPr>
      </w:pPr>
    </w:p>
    <w:p w14:paraId="562B868E" w14:textId="77777777" w:rsidR="00F94145" w:rsidRPr="00B425BD" w:rsidRDefault="00F94145" w:rsidP="00E37245">
      <w:pPr>
        <w:spacing w:line="480" w:lineRule="auto"/>
        <w:rPr>
          <w:rStyle w:val="Strong"/>
          <w:rFonts w:cstheme="minorHAnsi"/>
          <w:b w:val="0"/>
          <w:bCs w:val="0"/>
          <w:i/>
          <w:iCs/>
          <w:sz w:val="24"/>
          <w:szCs w:val="24"/>
          <w:shd w:val="clear" w:color="auto" w:fill="FFFFFF"/>
        </w:rPr>
      </w:pPr>
      <w:r w:rsidRPr="00B425BD">
        <w:rPr>
          <w:rStyle w:val="Strong"/>
          <w:rFonts w:cstheme="minorHAnsi"/>
          <w:b w:val="0"/>
          <w:bCs w:val="0"/>
          <w:i/>
          <w:iCs/>
          <w:sz w:val="24"/>
          <w:szCs w:val="24"/>
          <w:shd w:val="clear" w:color="auto" w:fill="FFFFFF"/>
        </w:rPr>
        <w:t>Administration of Justice Act 1970</w:t>
      </w:r>
    </w:p>
    <w:p w14:paraId="4BB9F7D0" w14:textId="492D57EE" w:rsidR="006123AC" w:rsidRPr="00B425BD" w:rsidRDefault="00F94145" w:rsidP="00E37245">
      <w:pPr>
        <w:spacing w:line="480" w:lineRule="auto"/>
        <w:rPr>
          <w:rFonts w:cstheme="minorHAnsi"/>
          <w:sz w:val="24"/>
          <w:szCs w:val="24"/>
        </w:rPr>
      </w:pPr>
      <w:bookmarkStart w:id="0" w:name="_Hlk89760794"/>
      <w:r w:rsidRPr="00B425BD">
        <w:rPr>
          <w:rFonts w:cstheme="minorHAnsi"/>
          <w:i/>
          <w:sz w:val="24"/>
          <w:szCs w:val="24"/>
        </w:rPr>
        <w:t>Bank of Scotland PLC v J T Waugh (1) K Waugh (2) T R Gray (3) I E Williams (4)</w:t>
      </w:r>
      <w:r w:rsidRPr="00B425BD">
        <w:rPr>
          <w:rFonts w:cstheme="minorHAnsi"/>
          <w:sz w:val="24"/>
          <w:szCs w:val="24"/>
        </w:rPr>
        <w:t xml:space="preserve"> </w:t>
      </w:r>
      <w:bookmarkEnd w:id="0"/>
      <w:r w:rsidR="00D1250C" w:rsidRPr="00B425BD">
        <w:rPr>
          <w:rFonts w:cstheme="minorHAnsi"/>
          <w:sz w:val="24"/>
          <w:szCs w:val="24"/>
        </w:rPr>
        <w:t>[</w:t>
      </w:r>
      <w:r w:rsidRPr="00B425BD">
        <w:rPr>
          <w:rFonts w:cstheme="minorHAnsi"/>
          <w:sz w:val="24"/>
          <w:szCs w:val="24"/>
        </w:rPr>
        <w:t>2014</w:t>
      </w:r>
      <w:r w:rsidR="00D1250C" w:rsidRPr="00B425BD">
        <w:rPr>
          <w:rFonts w:cstheme="minorHAnsi"/>
          <w:sz w:val="24"/>
          <w:szCs w:val="24"/>
        </w:rPr>
        <w:t>]</w:t>
      </w:r>
      <w:r w:rsidRPr="00B425BD">
        <w:rPr>
          <w:rFonts w:cstheme="minorHAnsi"/>
          <w:sz w:val="24"/>
          <w:szCs w:val="24"/>
        </w:rPr>
        <w:t xml:space="preserve"> EWHC 2117 (Ch)</w:t>
      </w:r>
    </w:p>
    <w:p w14:paraId="3864BE61" w14:textId="77777777" w:rsidR="00F94145" w:rsidRPr="00B425BD" w:rsidRDefault="00F94145" w:rsidP="00E37245">
      <w:pPr>
        <w:spacing w:line="480" w:lineRule="auto"/>
        <w:rPr>
          <w:rFonts w:cstheme="minorHAnsi"/>
          <w:sz w:val="24"/>
          <w:szCs w:val="24"/>
        </w:rPr>
      </w:pPr>
      <w:r w:rsidRPr="00B425BD">
        <w:rPr>
          <w:rStyle w:val="Strong"/>
          <w:rFonts w:cstheme="minorHAnsi"/>
          <w:b w:val="0"/>
          <w:bCs w:val="0"/>
          <w:i/>
          <w:iCs/>
          <w:sz w:val="24"/>
          <w:szCs w:val="24"/>
          <w:shd w:val="clear" w:color="auto" w:fill="FFFFFF"/>
        </w:rPr>
        <w:t>Berkley v Poulett</w:t>
      </w:r>
      <w:r w:rsidRPr="00B425BD">
        <w:rPr>
          <w:rFonts w:cstheme="minorHAnsi"/>
          <w:sz w:val="24"/>
          <w:szCs w:val="24"/>
          <w:shd w:val="clear" w:color="auto" w:fill="FFFFFF"/>
        </w:rPr>
        <w:t> </w:t>
      </w:r>
      <w:r w:rsidR="00D1250C" w:rsidRPr="00B425BD">
        <w:rPr>
          <w:rFonts w:cstheme="minorHAnsi"/>
          <w:sz w:val="24"/>
          <w:szCs w:val="24"/>
          <w:shd w:val="clear" w:color="auto" w:fill="FFFFFF"/>
        </w:rPr>
        <w:t>[</w:t>
      </w:r>
      <w:r w:rsidRPr="00B425BD">
        <w:rPr>
          <w:rFonts w:cstheme="minorHAnsi"/>
          <w:sz w:val="24"/>
          <w:szCs w:val="24"/>
          <w:shd w:val="clear" w:color="auto" w:fill="FFFFFF"/>
        </w:rPr>
        <w:t>1976</w:t>
      </w:r>
      <w:r w:rsidR="00D1250C" w:rsidRPr="00B425BD">
        <w:rPr>
          <w:rFonts w:cstheme="minorHAnsi"/>
          <w:sz w:val="24"/>
          <w:szCs w:val="24"/>
          <w:shd w:val="clear" w:color="auto" w:fill="FFFFFF"/>
        </w:rPr>
        <w:t>]</w:t>
      </w:r>
      <w:r w:rsidRPr="00B425BD">
        <w:rPr>
          <w:rFonts w:cstheme="minorHAnsi"/>
          <w:sz w:val="24"/>
          <w:szCs w:val="24"/>
          <w:shd w:val="clear" w:color="auto" w:fill="FFFFFF"/>
        </w:rPr>
        <w:t xml:space="preserve"> EWCA Civ 1 </w:t>
      </w:r>
    </w:p>
    <w:p w14:paraId="0BE86496" w14:textId="77777777" w:rsidR="00F94145" w:rsidRPr="00B425BD" w:rsidRDefault="00F94145" w:rsidP="00E37245">
      <w:pPr>
        <w:spacing w:line="480" w:lineRule="auto"/>
        <w:rPr>
          <w:rFonts w:cstheme="minorHAnsi"/>
          <w:sz w:val="24"/>
          <w:szCs w:val="24"/>
          <w:shd w:val="clear" w:color="auto" w:fill="FFFFFF"/>
        </w:rPr>
      </w:pPr>
      <w:r w:rsidRPr="00B425BD">
        <w:rPr>
          <w:rStyle w:val="Emphasis"/>
          <w:rFonts w:cstheme="minorHAnsi"/>
          <w:sz w:val="24"/>
          <w:szCs w:val="24"/>
          <w:shd w:val="clear" w:color="auto" w:fill="FFFFFF"/>
        </w:rPr>
        <w:t>Botham v TSB Bank</w:t>
      </w:r>
      <w:r w:rsidRPr="00B425BD">
        <w:rPr>
          <w:rFonts w:cstheme="minorHAnsi"/>
          <w:sz w:val="24"/>
          <w:szCs w:val="24"/>
          <w:shd w:val="clear" w:color="auto" w:fill="FFFFFF"/>
        </w:rPr>
        <w:t> </w:t>
      </w:r>
      <w:r w:rsidR="00D1250C" w:rsidRPr="00B425BD">
        <w:rPr>
          <w:rFonts w:cstheme="minorHAnsi"/>
          <w:sz w:val="24"/>
          <w:szCs w:val="24"/>
          <w:shd w:val="clear" w:color="auto" w:fill="FFFFFF"/>
        </w:rPr>
        <w:t>[</w:t>
      </w:r>
      <w:r w:rsidRPr="00B425BD">
        <w:rPr>
          <w:rFonts w:cstheme="minorHAnsi"/>
          <w:sz w:val="24"/>
          <w:szCs w:val="24"/>
          <w:shd w:val="clear" w:color="auto" w:fill="FFFFFF"/>
        </w:rPr>
        <w:t>1996</w:t>
      </w:r>
      <w:r w:rsidR="00D1250C" w:rsidRPr="00B425BD">
        <w:rPr>
          <w:rFonts w:cstheme="minorHAnsi"/>
          <w:sz w:val="24"/>
          <w:szCs w:val="24"/>
          <w:shd w:val="clear" w:color="auto" w:fill="FFFFFF"/>
        </w:rPr>
        <w:t>]</w:t>
      </w:r>
      <w:r w:rsidRPr="00B425BD">
        <w:rPr>
          <w:rFonts w:cstheme="minorHAnsi"/>
          <w:sz w:val="24"/>
          <w:szCs w:val="24"/>
          <w:shd w:val="clear" w:color="auto" w:fill="FFFFFF"/>
        </w:rPr>
        <w:t xml:space="preserve"> 7 P &amp; C R D 1 </w:t>
      </w:r>
    </w:p>
    <w:p w14:paraId="6D677DB2" w14:textId="77777777" w:rsidR="00F94145" w:rsidRPr="00B425BD" w:rsidRDefault="00F94145" w:rsidP="00E37245">
      <w:pPr>
        <w:spacing w:line="480" w:lineRule="auto"/>
        <w:rPr>
          <w:rStyle w:val="Strong"/>
          <w:rFonts w:cstheme="minorHAnsi"/>
          <w:b w:val="0"/>
          <w:bCs w:val="0"/>
          <w:sz w:val="24"/>
          <w:szCs w:val="24"/>
          <w:shd w:val="clear" w:color="auto" w:fill="FFFFFF"/>
        </w:rPr>
      </w:pPr>
      <w:r w:rsidRPr="00B425BD">
        <w:rPr>
          <w:rFonts w:cstheme="minorHAnsi"/>
          <w:i/>
          <w:iCs/>
          <w:sz w:val="24"/>
          <w:szCs w:val="24"/>
        </w:rPr>
        <w:t>Bristol and West plc v Ellis</w:t>
      </w:r>
      <w:r w:rsidRPr="00B425BD">
        <w:rPr>
          <w:rFonts w:cstheme="minorHAnsi"/>
          <w:iCs/>
          <w:sz w:val="24"/>
          <w:szCs w:val="24"/>
        </w:rPr>
        <w:t xml:space="preserve"> </w:t>
      </w:r>
      <w:r w:rsidR="00D1250C" w:rsidRPr="00B425BD">
        <w:rPr>
          <w:rFonts w:cstheme="minorHAnsi"/>
          <w:sz w:val="24"/>
          <w:szCs w:val="24"/>
        </w:rPr>
        <w:t>[</w:t>
      </w:r>
      <w:r w:rsidRPr="00B425BD">
        <w:rPr>
          <w:rFonts w:cstheme="minorHAnsi"/>
          <w:sz w:val="24"/>
          <w:szCs w:val="24"/>
        </w:rPr>
        <w:t>1997</w:t>
      </w:r>
      <w:r w:rsidR="00D1250C" w:rsidRPr="00B425BD">
        <w:rPr>
          <w:rFonts w:cstheme="minorHAnsi"/>
          <w:sz w:val="24"/>
          <w:szCs w:val="24"/>
        </w:rPr>
        <w:t>]</w:t>
      </w:r>
      <w:r w:rsidRPr="00B425BD">
        <w:rPr>
          <w:rFonts w:cstheme="minorHAnsi"/>
          <w:sz w:val="24"/>
          <w:szCs w:val="24"/>
        </w:rPr>
        <w:t xml:space="preserve"> 73 P&amp;CR 158</w:t>
      </w:r>
    </w:p>
    <w:p w14:paraId="364E0023" w14:textId="77777777" w:rsidR="000E77CC" w:rsidRPr="00B425BD" w:rsidRDefault="000E77CC" w:rsidP="00E37245">
      <w:pPr>
        <w:spacing w:line="480" w:lineRule="auto"/>
        <w:rPr>
          <w:rFonts w:cstheme="minorHAnsi"/>
          <w:sz w:val="24"/>
          <w:szCs w:val="24"/>
        </w:rPr>
      </w:pPr>
      <w:r w:rsidRPr="00B425BD">
        <w:rPr>
          <w:rFonts w:cstheme="minorHAnsi"/>
          <w:i/>
          <w:iCs/>
          <w:sz w:val="24"/>
          <w:szCs w:val="24"/>
        </w:rPr>
        <w:t xml:space="preserve">Cheltenham &amp; Gloucester Building Society v Norgan </w:t>
      </w:r>
      <w:r w:rsidRPr="00B425BD">
        <w:rPr>
          <w:rFonts w:cstheme="minorHAnsi"/>
          <w:sz w:val="24"/>
          <w:szCs w:val="24"/>
        </w:rPr>
        <w:t>[1996] 1 WLR 343</w:t>
      </w:r>
    </w:p>
    <w:p w14:paraId="69681CE6" w14:textId="77777777" w:rsidR="00F94145" w:rsidRPr="00B425BD" w:rsidRDefault="00F94145" w:rsidP="00E37245">
      <w:pPr>
        <w:spacing w:line="480" w:lineRule="auto"/>
        <w:rPr>
          <w:rFonts w:cstheme="minorHAnsi"/>
          <w:i/>
          <w:iCs/>
          <w:sz w:val="24"/>
          <w:szCs w:val="24"/>
        </w:rPr>
      </w:pPr>
      <w:r w:rsidRPr="00B425BD">
        <w:rPr>
          <w:rFonts w:cstheme="minorHAnsi"/>
          <w:i/>
          <w:iCs/>
          <w:sz w:val="24"/>
          <w:szCs w:val="24"/>
        </w:rPr>
        <w:t>Crimi</w:t>
      </w:r>
      <w:r w:rsidR="00D1250C" w:rsidRPr="00B425BD">
        <w:rPr>
          <w:rFonts w:cstheme="minorHAnsi"/>
          <w:i/>
          <w:iCs/>
          <w:sz w:val="24"/>
          <w:szCs w:val="24"/>
        </w:rPr>
        <w:t>na</w:t>
      </w:r>
      <w:r w:rsidRPr="00B425BD">
        <w:rPr>
          <w:rFonts w:cstheme="minorHAnsi"/>
          <w:i/>
          <w:iCs/>
          <w:sz w:val="24"/>
          <w:szCs w:val="24"/>
        </w:rPr>
        <w:t>l Law Act 1977</w:t>
      </w:r>
    </w:p>
    <w:p w14:paraId="5A2989C1" w14:textId="77777777" w:rsidR="00F94145" w:rsidRPr="00B425BD" w:rsidRDefault="00F94145" w:rsidP="00E37245">
      <w:pPr>
        <w:spacing w:line="480" w:lineRule="auto"/>
        <w:rPr>
          <w:rFonts w:cstheme="minorHAnsi"/>
          <w:sz w:val="24"/>
          <w:szCs w:val="24"/>
          <w:shd w:val="clear" w:color="auto" w:fill="FFFFFF"/>
        </w:rPr>
      </w:pPr>
      <w:r w:rsidRPr="00B425BD">
        <w:rPr>
          <w:rStyle w:val="Strong"/>
          <w:rFonts w:cstheme="minorHAnsi"/>
          <w:b w:val="0"/>
          <w:bCs w:val="0"/>
          <w:i/>
          <w:iCs/>
          <w:sz w:val="24"/>
          <w:szCs w:val="24"/>
          <w:shd w:val="clear" w:color="auto" w:fill="FFFFFF"/>
        </w:rPr>
        <w:t>D'Eyncourt v Gregory</w:t>
      </w:r>
      <w:r w:rsidRPr="00B425BD">
        <w:rPr>
          <w:rFonts w:cstheme="minorHAnsi"/>
          <w:sz w:val="24"/>
          <w:szCs w:val="24"/>
          <w:shd w:val="clear" w:color="auto" w:fill="FFFFFF"/>
        </w:rPr>
        <w:t> </w:t>
      </w:r>
      <w:r w:rsidR="00D1250C" w:rsidRPr="00B425BD">
        <w:rPr>
          <w:rFonts w:cstheme="minorHAnsi"/>
          <w:sz w:val="24"/>
          <w:szCs w:val="24"/>
          <w:shd w:val="clear" w:color="auto" w:fill="FFFFFF"/>
        </w:rPr>
        <w:t>[</w:t>
      </w:r>
      <w:r w:rsidRPr="00B425BD">
        <w:rPr>
          <w:rFonts w:cstheme="minorHAnsi"/>
          <w:sz w:val="24"/>
          <w:szCs w:val="24"/>
          <w:shd w:val="clear" w:color="auto" w:fill="FFFFFF"/>
        </w:rPr>
        <w:t>1866</w:t>
      </w:r>
      <w:r w:rsidR="00D1250C" w:rsidRPr="00B425BD">
        <w:rPr>
          <w:rFonts w:cstheme="minorHAnsi"/>
          <w:sz w:val="24"/>
          <w:szCs w:val="24"/>
          <w:shd w:val="clear" w:color="auto" w:fill="FFFFFF"/>
        </w:rPr>
        <w:t>]</w:t>
      </w:r>
      <w:r w:rsidRPr="00B425BD">
        <w:rPr>
          <w:rFonts w:cstheme="minorHAnsi"/>
          <w:sz w:val="24"/>
          <w:szCs w:val="24"/>
          <w:shd w:val="clear" w:color="auto" w:fill="FFFFFF"/>
        </w:rPr>
        <w:t xml:space="preserve"> LR 3 Eq 382</w:t>
      </w:r>
    </w:p>
    <w:p w14:paraId="0696A807" w14:textId="77777777" w:rsidR="00F94145" w:rsidRPr="00B425BD" w:rsidRDefault="00F94145" w:rsidP="00E37245">
      <w:pPr>
        <w:spacing w:line="480" w:lineRule="auto"/>
        <w:rPr>
          <w:rFonts w:cstheme="minorHAnsi"/>
          <w:sz w:val="24"/>
          <w:szCs w:val="24"/>
          <w:shd w:val="clear" w:color="auto" w:fill="FFFFFF"/>
        </w:rPr>
      </w:pPr>
      <w:r w:rsidRPr="00B425BD">
        <w:rPr>
          <w:rStyle w:val="Strong"/>
          <w:rFonts w:cstheme="minorHAnsi"/>
          <w:b w:val="0"/>
          <w:bCs w:val="0"/>
          <w:i/>
          <w:iCs/>
          <w:sz w:val="24"/>
          <w:szCs w:val="24"/>
          <w:shd w:val="clear" w:color="auto" w:fill="FFFFFF"/>
        </w:rPr>
        <w:t>Elitestone v Morris</w:t>
      </w:r>
      <w:r w:rsidRPr="00B425BD">
        <w:rPr>
          <w:rFonts w:cstheme="minorHAnsi"/>
          <w:sz w:val="24"/>
          <w:szCs w:val="24"/>
          <w:shd w:val="clear" w:color="auto" w:fill="FFFFFF"/>
        </w:rPr>
        <w:t> </w:t>
      </w:r>
      <w:r w:rsidR="00D1250C" w:rsidRPr="00B425BD">
        <w:rPr>
          <w:rFonts w:cstheme="minorHAnsi"/>
          <w:sz w:val="24"/>
          <w:szCs w:val="24"/>
          <w:shd w:val="clear" w:color="auto" w:fill="FFFFFF"/>
        </w:rPr>
        <w:t>[</w:t>
      </w:r>
      <w:r w:rsidRPr="00B425BD">
        <w:rPr>
          <w:rFonts w:cstheme="minorHAnsi"/>
          <w:sz w:val="24"/>
          <w:szCs w:val="24"/>
          <w:shd w:val="clear" w:color="auto" w:fill="FFFFFF"/>
        </w:rPr>
        <w:t>1997</w:t>
      </w:r>
      <w:r w:rsidR="00D1250C" w:rsidRPr="00B425BD">
        <w:rPr>
          <w:rFonts w:cstheme="minorHAnsi"/>
          <w:sz w:val="24"/>
          <w:szCs w:val="24"/>
          <w:shd w:val="clear" w:color="auto" w:fill="FFFFFF"/>
        </w:rPr>
        <w:t>]</w:t>
      </w:r>
      <w:r w:rsidRPr="00B425BD">
        <w:rPr>
          <w:rFonts w:cstheme="minorHAnsi"/>
          <w:sz w:val="24"/>
          <w:szCs w:val="24"/>
          <w:shd w:val="clear" w:color="auto" w:fill="FFFFFF"/>
        </w:rPr>
        <w:t xml:space="preserve"> 1 WLR 687</w:t>
      </w:r>
    </w:p>
    <w:p w14:paraId="5CB8D222" w14:textId="77777777" w:rsidR="00F94145" w:rsidRPr="00B425BD" w:rsidRDefault="00F94145" w:rsidP="00E37245">
      <w:pPr>
        <w:spacing w:line="480" w:lineRule="auto"/>
        <w:rPr>
          <w:rFonts w:cstheme="minorHAnsi"/>
          <w:sz w:val="24"/>
          <w:szCs w:val="24"/>
        </w:rPr>
      </w:pPr>
      <w:r w:rsidRPr="00B425BD">
        <w:rPr>
          <w:rFonts w:cstheme="minorHAnsi"/>
          <w:i/>
          <w:sz w:val="24"/>
          <w:szCs w:val="24"/>
        </w:rPr>
        <w:t xml:space="preserve">Four-Maids Ltd v Dudley Marshall Properties Ltd </w:t>
      </w:r>
      <w:r w:rsidR="00D1250C" w:rsidRPr="00B425BD">
        <w:rPr>
          <w:rFonts w:cstheme="minorHAnsi"/>
          <w:sz w:val="24"/>
          <w:szCs w:val="24"/>
        </w:rPr>
        <w:t>[</w:t>
      </w:r>
      <w:r w:rsidRPr="00B425BD">
        <w:rPr>
          <w:rFonts w:cstheme="minorHAnsi"/>
          <w:sz w:val="24"/>
          <w:szCs w:val="24"/>
        </w:rPr>
        <w:t>1957</w:t>
      </w:r>
      <w:r w:rsidR="00D1250C" w:rsidRPr="00B425BD">
        <w:rPr>
          <w:rFonts w:cstheme="minorHAnsi"/>
          <w:sz w:val="24"/>
          <w:szCs w:val="24"/>
        </w:rPr>
        <w:t>]</w:t>
      </w:r>
      <w:r w:rsidRPr="00B425BD">
        <w:rPr>
          <w:rFonts w:cstheme="minorHAnsi"/>
          <w:sz w:val="24"/>
          <w:szCs w:val="24"/>
        </w:rPr>
        <w:t xml:space="preserve"> Ch 317</w:t>
      </w:r>
    </w:p>
    <w:p w14:paraId="0A72210B" w14:textId="3AF7A2CD" w:rsidR="006123AC" w:rsidRPr="00B425BD" w:rsidRDefault="00F94145" w:rsidP="00E37245">
      <w:pPr>
        <w:spacing w:line="480" w:lineRule="auto"/>
        <w:rPr>
          <w:rFonts w:cstheme="minorHAnsi"/>
          <w:sz w:val="24"/>
          <w:szCs w:val="24"/>
          <w:shd w:val="clear" w:color="auto" w:fill="FFFFFF"/>
        </w:rPr>
      </w:pPr>
      <w:r w:rsidRPr="00B425BD">
        <w:rPr>
          <w:rFonts w:cstheme="minorHAnsi"/>
          <w:sz w:val="24"/>
          <w:szCs w:val="24"/>
          <w:shd w:val="clear" w:color="auto" w:fill="FFFFFF"/>
        </w:rPr>
        <w:t>Gray, K.</w:t>
      </w:r>
      <w:r w:rsidR="00F97F2D" w:rsidRPr="00B425BD">
        <w:rPr>
          <w:rFonts w:cstheme="minorHAnsi"/>
          <w:sz w:val="24"/>
          <w:szCs w:val="24"/>
          <w:shd w:val="clear" w:color="auto" w:fill="FFFFFF"/>
        </w:rPr>
        <w:t xml:space="preserve"> </w:t>
      </w:r>
      <w:r w:rsidRPr="00B425BD">
        <w:rPr>
          <w:rFonts w:cstheme="minorHAnsi"/>
          <w:sz w:val="24"/>
          <w:szCs w:val="24"/>
          <w:shd w:val="clear" w:color="auto" w:fill="FFFFFF"/>
        </w:rPr>
        <w:t>J. and Gray, S.</w:t>
      </w:r>
      <w:r w:rsidR="00F97F2D" w:rsidRPr="00B425BD">
        <w:rPr>
          <w:rFonts w:cstheme="minorHAnsi"/>
          <w:sz w:val="24"/>
          <w:szCs w:val="24"/>
          <w:shd w:val="clear" w:color="auto" w:fill="FFFFFF"/>
        </w:rPr>
        <w:t xml:space="preserve"> </w:t>
      </w:r>
      <w:r w:rsidRPr="00B425BD">
        <w:rPr>
          <w:rFonts w:cstheme="minorHAnsi"/>
          <w:sz w:val="24"/>
          <w:szCs w:val="24"/>
          <w:shd w:val="clear" w:color="auto" w:fill="FFFFFF"/>
        </w:rPr>
        <w:t xml:space="preserve">F. </w:t>
      </w:r>
      <w:r w:rsidR="00F97F2D" w:rsidRPr="00B425BD">
        <w:rPr>
          <w:rFonts w:cstheme="minorHAnsi"/>
          <w:sz w:val="24"/>
          <w:szCs w:val="24"/>
          <w:shd w:val="clear" w:color="auto" w:fill="FFFFFF"/>
        </w:rPr>
        <w:t>(</w:t>
      </w:r>
      <w:r w:rsidRPr="00B425BD">
        <w:rPr>
          <w:rFonts w:cstheme="minorHAnsi"/>
          <w:sz w:val="24"/>
          <w:szCs w:val="24"/>
          <w:shd w:val="clear" w:color="auto" w:fill="FFFFFF"/>
        </w:rPr>
        <w:t>2009</w:t>
      </w:r>
      <w:r w:rsidR="00F97F2D" w:rsidRPr="00B425BD">
        <w:rPr>
          <w:rFonts w:cstheme="minorHAnsi"/>
          <w:sz w:val="24"/>
          <w:szCs w:val="24"/>
          <w:shd w:val="clear" w:color="auto" w:fill="FFFFFF"/>
        </w:rPr>
        <w:t>)</w:t>
      </w:r>
      <w:r w:rsidRPr="00B425BD">
        <w:rPr>
          <w:rFonts w:cstheme="minorHAnsi"/>
          <w:sz w:val="24"/>
          <w:szCs w:val="24"/>
          <w:shd w:val="clear" w:color="auto" w:fill="FFFFFF"/>
        </w:rPr>
        <w:t> </w:t>
      </w:r>
      <w:r w:rsidRPr="00B425BD">
        <w:rPr>
          <w:rFonts w:cstheme="minorHAnsi"/>
          <w:i/>
          <w:iCs/>
          <w:sz w:val="24"/>
          <w:szCs w:val="24"/>
          <w:shd w:val="clear" w:color="auto" w:fill="FFFFFF"/>
        </w:rPr>
        <w:t xml:space="preserve">Elements of </w:t>
      </w:r>
      <w:r w:rsidR="00F97F2D" w:rsidRPr="00B425BD">
        <w:rPr>
          <w:rFonts w:cstheme="minorHAnsi"/>
          <w:i/>
          <w:iCs/>
          <w:sz w:val="24"/>
          <w:szCs w:val="24"/>
          <w:shd w:val="clear" w:color="auto" w:fill="FFFFFF"/>
        </w:rPr>
        <w:t>L</w:t>
      </w:r>
      <w:r w:rsidRPr="00B425BD">
        <w:rPr>
          <w:rFonts w:cstheme="minorHAnsi"/>
          <w:i/>
          <w:iCs/>
          <w:sz w:val="24"/>
          <w:szCs w:val="24"/>
          <w:shd w:val="clear" w:color="auto" w:fill="FFFFFF"/>
        </w:rPr>
        <w:t xml:space="preserve">and </w:t>
      </w:r>
      <w:r w:rsidR="00F97F2D" w:rsidRPr="00B425BD">
        <w:rPr>
          <w:rFonts w:cstheme="minorHAnsi"/>
          <w:i/>
          <w:iCs/>
          <w:sz w:val="24"/>
          <w:szCs w:val="24"/>
          <w:shd w:val="clear" w:color="auto" w:fill="FFFFFF"/>
        </w:rPr>
        <w:t>L</w:t>
      </w:r>
      <w:r w:rsidRPr="00B425BD">
        <w:rPr>
          <w:rFonts w:cstheme="minorHAnsi"/>
          <w:i/>
          <w:iCs/>
          <w:sz w:val="24"/>
          <w:szCs w:val="24"/>
          <w:shd w:val="clear" w:color="auto" w:fill="FFFFFF"/>
        </w:rPr>
        <w:t>aw</w:t>
      </w:r>
      <w:r w:rsidR="00F97F2D" w:rsidRPr="00B425BD">
        <w:rPr>
          <w:rFonts w:cstheme="minorHAnsi"/>
          <w:sz w:val="24"/>
          <w:szCs w:val="24"/>
          <w:shd w:val="clear" w:color="auto" w:fill="FFFFFF"/>
        </w:rPr>
        <w:t xml:space="preserve">, </w:t>
      </w:r>
      <w:r w:rsidRPr="00B425BD">
        <w:rPr>
          <w:rFonts w:cstheme="minorHAnsi"/>
          <w:sz w:val="24"/>
          <w:szCs w:val="24"/>
          <w:shd w:val="clear" w:color="auto" w:fill="FFFFFF"/>
        </w:rPr>
        <w:t>Vol. 5</w:t>
      </w:r>
      <w:r w:rsidR="00F97F2D" w:rsidRPr="00B425BD">
        <w:rPr>
          <w:rFonts w:cstheme="minorHAnsi"/>
          <w:sz w:val="24"/>
          <w:szCs w:val="24"/>
          <w:shd w:val="clear" w:color="auto" w:fill="FFFFFF"/>
        </w:rPr>
        <w:t>,</w:t>
      </w:r>
      <w:r w:rsidRPr="00B425BD">
        <w:rPr>
          <w:rFonts w:cstheme="minorHAnsi"/>
          <w:sz w:val="24"/>
          <w:szCs w:val="24"/>
          <w:shd w:val="clear" w:color="auto" w:fill="FFFFFF"/>
        </w:rPr>
        <w:t xml:space="preserve"> Oxford</w:t>
      </w:r>
      <w:r w:rsidR="00F97F2D" w:rsidRPr="00B425BD">
        <w:rPr>
          <w:rFonts w:cstheme="minorHAnsi"/>
          <w:sz w:val="24"/>
          <w:szCs w:val="24"/>
          <w:shd w:val="clear" w:color="auto" w:fill="FFFFFF"/>
        </w:rPr>
        <w:t>,</w:t>
      </w:r>
      <w:r w:rsidRPr="00B425BD">
        <w:rPr>
          <w:rFonts w:cstheme="minorHAnsi"/>
          <w:sz w:val="24"/>
          <w:szCs w:val="24"/>
          <w:shd w:val="clear" w:color="auto" w:fill="FFFFFF"/>
        </w:rPr>
        <w:t xml:space="preserve"> Oxford University Press.</w:t>
      </w:r>
    </w:p>
    <w:p w14:paraId="576A5712" w14:textId="77777777" w:rsidR="00F94145" w:rsidRPr="00B425BD" w:rsidRDefault="00F94145" w:rsidP="00E37245">
      <w:pPr>
        <w:spacing w:line="480" w:lineRule="auto"/>
        <w:rPr>
          <w:rFonts w:cstheme="minorHAnsi"/>
          <w:sz w:val="24"/>
          <w:szCs w:val="24"/>
        </w:rPr>
      </w:pPr>
      <w:r w:rsidRPr="00B425BD">
        <w:rPr>
          <w:rFonts w:cstheme="minorHAnsi"/>
          <w:i/>
          <w:sz w:val="24"/>
          <w:szCs w:val="24"/>
        </w:rPr>
        <w:t>H. E. Dibble v Moore</w:t>
      </w:r>
      <w:r w:rsidRPr="00B425BD">
        <w:rPr>
          <w:rFonts w:cstheme="minorHAnsi"/>
          <w:sz w:val="24"/>
          <w:szCs w:val="24"/>
        </w:rPr>
        <w:t xml:space="preserve"> </w:t>
      </w:r>
      <w:r w:rsidR="00D1250C" w:rsidRPr="00B425BD">
        <w:rPr>
          <w:rFonts w:cstheme="minorHAnsi"/>
          <w:sz w:val="24"/>
          <w:szCs w:val="24"/>
        </w:rPr>
        <w:t>[</w:t>
      </w:r>
      <w:r w:rsidRPr="00B425BD">
        <w:rPr>
          <w:rFonts w:cstheme="minorHAnsi"/>
          <w:sz w:val="24"/>
          <w:szCs w:val="24"/>
        </w:rPr>
        <w:t>1970</w:t>
      </w:r>
      <w:r w:rsidR="00D1250C" w:rsidRPr="00B425BD">
        <w:rPr>
          <w:rFonts w:cstheme="minorHAnsi"/>
          <w:sz w:val="24"/>
          <w:szCs w:val="24"/>
        </w:rPr>
        <w:t>]</w:t>
      </w:r>
      <w:r w:rsidRPr="00B425BD">
        <w:rPr>
          <w:rFonts w:cstheme="minorHAnsi"/>
          <w:sz w:val="24"/>
          <w:szCs w:val="24"/>
        </w:rPr>
        <w:t xml:space="preserve"> 2 QB 181</w:t>
      </w:r>
    </w:p>
    <w:p w14:paraId="259B3099" w14:textId="77777777" w:rsidR="00F94145" w:rsidRPr="00B425BD" w:rsidRDefault="00F94145" w:rsidP="00E37245">
      <w:pPr>
        <w:spacing w:line="480" w:lineRule="auto"/>
        <w:rPr>
          <w:rFonts w:cstheme="minorHAnsi"/>
          <w:sz w:val="24"/>
          <w:szCs w:val="24"/>
        </w:rPr>
      </w:pPr>
      <w:r w:rsidRPr="00B425BD">
        <w:rPr>
          <w:rFonts w:cstheme="minorHAnsi"/>
          <w:i/>
          <w:sz w:val="24"/>
          <w:szCs w:val="24"/>
        </w:rPr>
        <w:t>Hemp v Bygrave</w:t>
      </w:r>
      <w:r w:rsidRPr="00B425BD">
        <w:rPr>
          <w:rFonts w:cstheme="minorHAnsi"/>
          <w:sz w:val="24"/>
          <w:szCs w:val="24"/>
        </w:rPr>
        <w:t xml:space="preserve"> </w:t>
      </w:r>
      <w:r w:rsidR="00D1250C" w:rsidRPr="00B425BD">
        <w:rPr>
          <w:rFonts w:cstheme="minorHAnsi"/>
          <w:sz w:val="24"/>
          <w:szCs w:val="24"/>
        </w:rPr>
        <w:t>[</w:t>
      </w:r>
      <w:r w:rsidRPr="00B425BD">
        <w:rPr>
          <w:rFonts w:cstheme="minorHAnsi"/>
          <w:sz w:val="24"/>
          <w:szCs w:val="24"/>
        </w:rPr>
        <w:t>1982</w:t>
      </w:r>
      <w:r w:rsidR="00D1250C" w:rsidRPr="00B425BD">
        <w:rPr>
          <w:rFonts w:cstheme="minorHAnsi"/>
          <w:sz w:val="24"/>
          <w:szCs w:val="24"/>
        </w:rPr>
        <w:t>]</w:t>
      </w:r>
      <w:r w:rsidRPr="00B425BD">
        <w:rPr>
          <w:rFonts w:cstheme="minorHAnsi"/>
          <w:sz w:val="24"/>
          <w:szCs w:val="24"/>
        </w:rPr>
        <w:t xml:space="preserve"> 266 EG 720</w:t>
      </w:r>
    </w:p>
    <w:p w14:paraId="4DA41601" w14:textId="77777777" w:rsidR="00F94145" w:rsidRPr="00B425BD" w:rsidRDefault="00F94145" w:rsidP="00E37245">
      <w:pPr>
        <w:spacing w:line="480" w:lineRule="auto"/>
        <w:rPr>
          <w:rFonts w:cstheme="minorHAnsi"/>
          <w:sz w:val="24"/>
          <w:szCs w:val="24"/>
          <w:shd w:val="clear" w:color="auto" w:fill="FFFFFF"/>
        </w:rPr>
      </w:pPr>
      <w:r w:rsidRPr="00B425BD">
        <w:rPr>
          <w:rStyle w:val="Strong"/>
          <w:rFonts w:cstheme="minorHAnsi"/>
          <w:b w:val="0"/>
          <w:bCs w:val="0"/>
          <w:i/>
          <w:iCs/>
          <w:sz w:val="24"/>
          <w:szCs w:val="24"/>
          <w:shd w:val="clear" w:color="auto" w:fill="FFFFFF"/>
        </w:rPr>
        <w:t>Holland v Hodgson</w:t>
      </w:r>
      <w:r w:rsidRPr="00B425BD">
        <w:rPr>
          <w:rFonts w:cstheme="minorHAnsi"/>
          <w:sz w:val="24"/>
          <w:szCs w:val="24"/>
          <w:shd w:val="clear" w:color="auto" w:fill="FFFFFF"/>
        </w:rPr>
        <w:t> </w:t>
      </w:r>
      <w:r w:rsidR="00D1250C" w:rsidRPr="00B425BD">
        <w:rPr>
          <w:rFonts w:cstheme="minorHAnsi"/>
          <w:sz w:val="24"/>
          <w:szCs w:val="24"/>
          <w:shd w:val="clear" w:color="auto" w:fill="FFFFFF"/>
        </w:rPr>
        <w:t>[</w:t>
      </w:r>
      <w:r w:rsidRPr="00B425BD">
        <w:rPr>
          <w:rFonts w:cstheme="minorHAnsi"/>
          <w:sz w:val="24"/>
          <w:szCs w:val="24"/>
          <w:shd w:val="clear" w:color="auto" w:fill="FFFFFF"/>
        </w:rPr>
        <w:t>1872</w:t>
      </w:r>
      <w:r w:rsidR="00D1250C" w:rsidRPr="00B425BD">
        <w:rPr>
          <w:rFonts w:cstheme="minorHAnsi"/>
          <w:sz w:val="24"/>
          <w:szCs w:val="24"/>
          <w:shd w:val="clear" w:color="auto" w:fill="FFFFFF"/>
        </w:rPr>
        <w:t>]</w:t>
      </w:r>
      <w:r w:rsidRPr="00B425BD">
        <w:rPr>
          <w:rFonts w:cstheme="minorHAnsi"/>
          <w:sz w:val="24"/>
          <w:szCs w:val="24"/>
          <w:shd w:val="clear" w:color="auto" w:fill="FFFFFF"/>
        </w:rPr>
        <w:t xml:space="preserve"> LR 7 CP 328</w:t>
      </w:r>
    </w:p>
    <w:p w14:paraId="2AECF596" w14:textId="77777777" w:rsidR="00F94145" w:rsidRPr="00B425BD" w:rsidRDefault="00F94145" w:rsidP="00E37245">
      <w:pPr>
        <w:spacing w:line="480" w:lineRule="auto"/>
        <w:rPr>
          <w:rStyle w:val="Strong"/>
          <w:rFonts w:cstheme="minorHAnsi"/>
          <w:b w:val="0"/>
          <w:bCs w:val="0"/>
          <w:sz w:val="24"/>
          <w:szCs w:val="24"/>
          <w:shd w:val="clear" w:color="auto" w:fill="FFFFFF"/>
        </w:rPr>
      </w:pPr>
      <w:r w:rsidRPr="00B425BD">
        <w:rPr>
          <w:rFonts w:cstheme="minorHAnsi"/>
          <w:i/>
          <w:sz w:val="24"/>
          <w:szCs w:val="24"/>
        </w:rPr>
        <w:t>Horsham Properties Group Ltd v Clark &amp; Another</w:t>
      </w:r>
      <w:r w:rsidRPr="00B425BD">
        <w:rPr>
          <w:rFonts w:cstheme="minorHAnsi"/>
          <w:sz w:val="24"/>
          <w:szCs w:val="24"/>
        </w:rPr>
        <w:t xml:space="preserve"> </w:t>
      </w:r>
      <w:r w:rsidR="00D1250C" w:rsidRPr="00B425BD">
        <w:rPr>
          <w:rFonts w:cstheme="minorHAnsi"/>
          <w:sz w:val="24"/>
          <w:szCs w:val="24"/>
        </w:rPr>
        <w:t>[</w:t>
      </w:r>
      <w:r w:rsidRPr="00B425BD">
        <w:rPr>
          <w:rFonts w:cstheme="minorHAnsi"/>
          <w:sz w:val="24"/>
          <w:szCs w:val="24"/>
        </w:rPr>
        <w:t>2008</w:t>
      </w:r>
      <w:r w:rsidR="00D1250C" w:rsidRPr="00B425BD">
        <w:rPr>
          <w:rFonts w:cstheme="minorHAnsi"/>
          <w:sz w:val="24"/>
          <w:szCs w:val="24"/>
        </w:rPr>
        <w:t>]</w:t>
      </w:r>
      <w:r w:rsidRPr="00B425BD">
        <w:rPr>
          <w:rFonts w:cstheme="minorHAnsi"/>
          <w:sz w:val="24"/>
          <w:szCs w:val="24"/>
        </w:rPr>
        <w:t xml:space="preserve"> EWHC 2327 (Ch)</w:t>
      </w:r>
    </w:p>
    <w:p w14:paraId="5F96516F" w14:textId="77777777" w:rsidR="00F94145" w:rsidRPr="00B425BD" w:rsidRDefault="00F94145" w:rsidP="00E37245">
      <w:pPr>
        <w:spacing w:line="480" w:lineRule="auto"/>
        <w:rPr>
          <w:rStyle w:val="Strong"/>
          <w:rFonts w:cstheme="minorHAnsi"/>
          <w:b w:val="0"/>
          <w:bCs w:val="0"/>
          <w:i/>
          <w:iCs/>
          <w:sz w:val="24"/>
          <w:szCs w:val="24"/>
          <w:shd w:val="clear" w:color="auto" w:fill="FFFFFF"/>
        </w:rPr>
      </w:pPr>
      <w:r w:rsidRPr="00B425BD">
        <w:rPr>
          <w:rStyle w:val="Strong"/>
          <w:rFonts w:cstheme="minorHAnsi"/>
          <w:b w:val="0"/>
          <w:bCs w:val="0"/>
          <w:i/>
          <w:iCs/>
          <w:sz w:val="24"/>
          <w:szCs w:val="24"/>
          <w:shd w:val="clear" w:color="auto" w:fill="FFFFFF"/>
        </w:rPr>
        <w:lastRenderedPageBreak/>
        <w:t>Land Registration Act 2002</w:t>
      </w:r>
    </w:p>
    <w:p w14:paraId="24BEF647" w14:textId="77777777" w:rsidR="00F94145" w:rsidRPr="00B425BD" w:rsidRDefault="00F94145" w:rsidP="00E37245">
      <w:pPr>
        <w:spacing w:line="480" w:lineRule="auto"/>
        <w:rPr>
          <w:rStyle w:val="Strong"/>
          <w:rFonts w:cstheme="minorHAnsi"/>
          <w:b w:val="0"/>
          <w:bCs w:val="0"/>
          <w:i/>
          <w:iCs/>
          <w:sz w:val="24"/>
          <w:szCs w:val="24"/>
          <w:shd w:val="clear" w:color="auto" w:fill="FFFFFF"/>
        </w:rPr>
      </w:pPr>
      <w:r w:rsidRPr="00B425BD">
        <w:rPr>
          <w:rStyle w:val="Strong"/>
          <w:rFonts w:cstheme="minorHAnsi"/>
          <w:b w:val="0"/>
          <w:bCs w:val="0"/>
          <w:i/>
          <w:iCs/>
          <w:sz w:val="24"/>
          <w:szCs w:val="24"/>
          <w:shd w:val="clear" w:color="auto" w:fill="FFFFFF"/>
        </w:rPr>
        <w:t>Law of Property Act 1925</w:t>
      </w:r>
    </w:p>
    <w:p w14:paraId="4CFACB4C" w14:textId="77777777" w:rsidR="00F94145" w:rsidRPr="00B425BD" w:rsidRDefault="00F94145" w:rsidP="00E37245">
      <w:pPr>
        <w:spacing w:line="480" w:lineRule="auto"/>
        <w:rPr>
          <w:rFonts w:cstheme="minorHAnsi"/>
          <w:sz w:val="24"/>
          <w:szCs w:val="24"/>
          <w:shd w:val="clear" w:color="auto" w:fill="FFFFFF"/>
        </w:rPr>
      </w:pPr>
      <w:r w:rsidRPr="00B425BD">
        <w:rPr>
          <w:rStyle w:val="Strong"/>
          <w:rFonts w:cstheme="minorHAnsi"/>
          <w:b w:val="0"/>
          <w:bCs w:val="0"/>
          <w:i/>
          <w:iCs/>
          <w:sz w:val="24"/>
          <w:szCs w:val="24"/>
          <w:shd w:val="clear" w:color="auto" w:fill="FFFFFF"/>
        </w:rPr>
        <w:t>Leigh v Taylor</w:t>
      </w:r>
      <w:r w:rsidRPr="00B425BD">
        <w:rPr>
          <w:rFonts w:cstheme="minorHAnsi"/>
          <w:sz w:val="24"/>
          <w:szCs w:val="24"/>
          <w:shd w:val="clear" w:color="auto" w:fill="FFFFFF"/>
        </w:rPr>
        <w:t> </w:t>
      </w:r>
      <w:r w:rsidR="00D1250C" w:rsidRPr="00B425BD">
        <w:rPr>
          <w:rFonts w:cstheme="minorHAnsi"/>
          <w:sz w:val="24"/>
          <w:szCs w:val="24"/>
          <w:shd w:val="clear" w:color="auto" w:fill="FFFFFF"/>
        </w:rPr>
        <w:t>[</w:t>
      </w:r>
      <w:r w:rsidRPr="00B425BD">
        <w:rPr>
          <w:rFonts w:cstheme="minorHAnsi"/>
          <w:sz w:val="24"/>
          <w:szCs w:val="24"/>
          <w:shd w:val="clear" w:color="auto" w:fill="FFFFFF"/>
        </w:rPr>
        <w:t>1902</w:t>
      </w:r>
      <w:r w:rsidR="00D1250C" w:rsidRPr="00B425BD">
        <w:rPr>
          <w:rFonts w:cstheme="minorHAnsi"/>
          <w:sz w:val="24"/>
          <w:szCs w:val="24"/>
          <w:shd w:val="clear" w:color="auto" w:fill="FFFFFF"/>
        </w:rPr>
        <w:t>]</w:t>
      </w:r>
      <w:r w:rsidRPr="00B425BD">
        <w:rPr>
          <w:rFonts w:cstheme="minorHAnsi"/>
          <w:sz w:val="24"/>
          <w:szCs w:val="24"/>
          <w:shd w:val="clear" w:color="auto" w:fill="FFFFFF"/>
        </w:rPr>
        <w:t xml:space="preserve"> AC 157</w:t>
      </w:r>
    </w:p>
    <w:p w14:paraId="4C5603B7" w14:textId="77777777" w:rsidR="00F94145" w:rsidRPr="00B425BD" w:rsidRDefault="00F94145" w:rsidP="00E37245">
      <w:pPr>
        <w:spacing w:line="480" w:lineRule="auto"/>
        <w:rPr>
          <w:rFonts w:cstheme="minorHAnsi"/>
          <w:sz w:val="24"/>
          <w:szCs w:val="24"/>
          <w:shd w:val="clear" w:color="auto" w:fill="FFFFFF"/>
        </w:rPr>
      </w:pPr>
      <w:r w:rsidRPr="00B425BD">
        <w:rPr>
          <w:rFonts w:cstheme="minorHAnsi"/>
          <w:sz w:val="24"/>
          <w:szCs w:val="24"/>
          <w:shd w:val="clear" w:color="auto" w:fill="FFFFFF"/>
        </w:rPr>
        <w:t>MacKenzie, J.</w:t>
      </w:r>
      <w:r w:rsidR="00F97F2D" w:rsidRPr="00B425BD">
        <w:rPr>
          <w:rFonts w:cstheme="minorHAnsi"/>
          <w:sz w:val="24"/>
          <w:szCs w:val="24"/>
          <w:shd w:val="clear" w:color="auto" w:fill="FFFFFF"/>
        </w:rPr>
        <w:t xml:space="preserve"> </w:t>
      </w:r>
      <w:r w:rsidRPr="00B425BD">
        <w:rPr>
          <w:rFonts w:cstheme="minorHAnsi"/>
          <w:sz w:val="24"/>
          <w:szCs w:val="24"/>
          <w:shd w:val="clear" w:color="auto" w:fill="FFFFFF"/>
        </w:rPr>
        <w:t xml:space="preserve">A. </w:t>
      </w:r>
      <w:r w:rsidR="00F97F2D" w:rsidRPr="00B425BD">
        <w:rPr>
          <w:rFonts w:cstheme="minorHAnsi"/>
          <w:sz w:val="24"/>
          <w:szCs w:val="24"/>
          <w:shd w:val="clear" w:color="auto" w:fill="FFFFFF"/>
        </w:rPr>
        <w:t>(</w:t>
      </w:r>
      <w:r w:rsidRPr="00B425BD">
        <w:rPr>
          <w:rFonts w:cstheme="minorHAnsi"/>
          <w:sz w:val="24"/>
          <w:szCs w:val="24"/>
          <w:shd w:val="clear" w:color="auto" w:fill="FFFFFF"/>
        </w:rPr>
        <w:t>2020</w:t>
      </w:r>
      <w:r w:rsidR="00F97F2D" w:rsidRPr="00B425BD">
        <w:rPr>
          <w:rFonts w:cstheme="minorHAnsi"/>
          <w:sz w:val="24"/>
          <w:szCs w:val="24"/>
          <w:shd w:val="clear" w:color="auto" w:fill="FFFFFF"/>
        </w:rPr>
        <w:t>)</w:t>
      </w:r>
      <w:r w:rsidRPr="00B425BD">
        <w:rPr>
          <w:rFonts w:cstheme="minorHAnsi"/>
          <w:sz w:val="24"/>
          <w:szCs w:val="24"/>
          <w:shd w:val="clear" w:color="auto" w:fill="FFFFFF"/>
        </w:rPr>
        <w:t> </w:t>
      </w:r>
      <w:r w:rsidRPr="00B425BD">
        <w:rPr>
          <w:rFonts w:cstheme="minorHAnsi"/>
          <w:i/>
          <w:iCs/>
          <w:sz w:val="24"/>
          <w:szCs w:val="24"/>
          <w:shd w:val="clear" w:color="auto" w:fill="FFFFFF"/>
        </w:rPr>
        <w:t xml:space="preserve">Textbook on </w:t>
      </w:r>
      <w:r w:rsidR="00F97F2D" w:rsidRPr="00B425BD">
        <w:rPr>
          <w:rFonts w:cstheme="minorHAnsi"/>
          <w:i/>
          <w:iCs/>
          <w:sz w:val="24"/>
          <w:szCs w:val="24"/>
          <w:shd w:val="clear" w:color="auto" w:fill="FFFFFF"/>
        </w:rPr>
        <w:t>L</w:t>
      </w:r>
      <w:r w:rsidRPr="00B425BD">
        <w:rPr>
          <w:rFonts w:cstheme="minorHAnsi"/>
          <w:i/>
          <w:iCs/>
          <w:sz w:val="24"/>
          <w:szCs w:val="24"/>
          <w:shd w:val="clear" w:color="auto" w:fill="FFFFFF"/>
        </w:rPr>
        <w:t xml:space="preserve">and </w:t>
      </w:r>
      <w:r w:rsidR="00F97F2D" w:rsidRPr="00B425BD">
        <w:rPr>
          <w:rFonts w:cstheme="minorHAnsi"/>
          <w:i/>
          <w:iCs/>
          <w:sz w:val="24"/>
          <w:szCs w:val="24"/>
          <w:shd w:val="clear" w:color="auto" w:fill="FFFFFF"/>
        </w:rPr>
        <w:t>L</w:t>
      </w:r>
      <w:r w:rsidRPr="00B425BD">
        <w:rPr>
          <w:rFonts w:cstheme="minorHAnsi"/>
          <w:i/>
          <w:iCs/>
          <w:sz w:val="24"/>
          <w:szCs w:val="24"/>
          <w:shd w:val="clear" w:color="auto" w:fill="FFFFFF"/>
        </w:rPr>
        <w:t>aw</w:t>
      </w:r>
      <w:r w:rsidR="00F97F2D" w:rsidRPr="00B425BD">
        <w:rPr>
          <w:rFonts w:cstheme="minorHAnsi"/>
          <w:sz w:val="24"/>
          <w:szCs w:val="24"/>
          <w:shd w:val="clear" w:color="auto" w:fill="FFFFFF"/>
        </w:rPr>
        <w:t xml:space="preserve">, </w:t>
      </w:r>
      <w:r w:rsidRPr="00B425BD">
        <w:rPr>
          <w:rFonts w:cstheme="minorHAnsi"/>
          <w:sz w:val="24"/>
          <w:szCs w:val="24"/>
          <w:shd w:val="clear" w:color="auto" w:fill="FFFFFF"/>
        </w:rPr>
        <w:t>Oxford University Press.</w:t>
      </w:r>
    </w:p>
    <w:p w14:paraId="1AD96CE8" w14:textId="77777777" w:rsidR="00F94145" w:rsidRPr="00B425BD" w:rsidRDefault="00F94145" w:rsidP="00E37245">
      <w:pPr>
        <w:spacing w:line="480" w:lineRule="auto"/>
        <w:rPr>
          <w:rStyle w:val="Strong"/>
          <w:rFonts w:cstheme="minorHAnsi"/>
          <w:b w:val="0"/>
          <w:bCs w:val="0"/>
          <w:sz w:val="24"/>
          <w:szCs w:val="24"/>
          <w:shd w:val="clear" w:color="auto" w:fill="FFFFFF"/>
        </w:rPr>
      </w:pPr>
      <w:r w:rsidRPr="00B425BD">
        <w:rPr>
          <w:rFonts w:cstheme="minorHAnsi"/>
          <w:i/>
          <w:iCs/>
          <w:sz w:val="24"/>
          <w:szCs w:val="24"/>
        </w:rPr>
        <w:t xml:space="preserve">Meah v GE Money Home Finance Ltd </w:t>
      </w:r>
      <w:r w:rsidR="00D1250C" w:rsidRPr="00B425BD">
        <w:rPr>
          <w:rStyle w:val="st1"/>
          <w:rFonts w:cstheme="minorHAnsi"/>
          <w:sz w:val="24"/>
          <w:szCs w:val="24"/>
        </w:rPr>
        <w:t>[</w:t>
      </w:r>
      <w:r w:rsidRPr="00B425BD">
        <w:rPr>
          <w:rStyle w:val="st1"/>
          <w:rFonts w:cstheme="minorHAnsi"/>
          <w:sz w:val="24"/>
          <w:szCs w:val="24"/>
        </w:rPr>
        <w:t>2013</w:t>
      </w:r>
      <w:r w:rsidR="00D1250C" w:rsidRPr="00B425BD">
        <w:rPr>
          <w:rStyle w:val="st1"/>
          <w:rFonts w:cstheme="minorHAnsi"/>
          <w:sz w:val="24"/>
          <w:szCs w:val="24"/>
        </w:rPr>
        <w:t>]</w:t>
      </w:r>
      <w:r w:rsidRPr="00B425BD">
        <w:rPr>
          <w:rStyle w:val="st1"/>
          <w:rFonts w:cstheme="minorHAnsi"/>
          <w:sz w:val="24"/>
          <w:szCs w:val="24"/>
        </w:rPr>
        <w:t xml:space="preserve"> EWHC 20</w:t>
      </w:r>
    </w:p>
    <w:p w14:paraId="2233C990" w14:textId="77777777" w:rsidR="00F94145" w:rsidRPr="00B425BD" w:rsidRDefault="00F94145" w:rsidP="00E37245">
      <w:pPr>
        <w:spacing w:line="480" w:lineRule="auto"/>
        <w:rPr>
          <w:rStyle w:val="Strong"/>
          <w:rFonts w:cstheme="minorHAnsi"/>
          <w:b w:val="0"/>
          <w:bCs w:val="0"/>
          <w:i/>
          <w:iCs/>
          <w:sz w:val="24"/>
          <w:szCs w:val="24"/>
          <w:shd w:val="clear" w:color="auto" w:fill="FFFFFF"/>
        </w:rPr>
      </w:pPr>
      <w:r w:rsidRPr="00B425BD">
        <w:rPr>
          <w:rStyle w:val="Strong"/>
          <w:rFonts w:cstheme="minorHAnsi"/>
          <w:b w:val="0"/>
          <w:bCs w:val="0"/>
          <w:i/>
          <w:iCs/>
          <w:sz w:val="24"/>
          <w:szCs w:val="24"/>
          <w:shd w:val="clear" w:color="auto" w:fill="FFFFFF"/>
        </w:rPr>
        <w:t>Rent Act 1977</w:t>
      </w:r>
    </w:p>
    <w:p w14:paraId="37C86584" w14:textId="77777777" w:rsidR="00EA441D" w:rsidRPr="00B425BD" w:rsidRDefault="0006484F" w:rsidP="00E37245">
      <w:pPr>
        <w:spacing w:line="480" w:lineRule="auto"/>
        <w:rPr>
          <w:rFonts w:cstheme="minorHAnsi"/>
          <w:i/>
          <w:sz w:val="24"/>
          <w:szCs w:val="24"/>
        </w:rPr>
      </w:pPr>
      <w:r w:rsidRPr="00B425BD">
        <w:rPr>
          <w:rFonts w:cstheme="minorHAnsi"/>
          <w:color w:val="222222"/>
          <w:sz w:val="24"/>
          <w:szCs w:val="24"/>
          <w:shd w:val="clear" w:color="auto" w:fill="FFFFFF"/>
        </w:rPr>
        <w:t xml:space="preserve">Roberts, S. (1966). A Choice of </w:t>
      </w:r>
      <w:proofErr w:type="gramStart"/>
      <w:r w:rsidRPr="00B425BD">
        <w:rPr>
          <w:rFonts w:cstheme="minorHAnsi"/>
          <w:color w:val="222222"/>
          <w:sz w:val="24"/>
          <w:szCs w:val="24"/>
          <w:shd w:val="clear" w:color="auto" w:fill="FFFFFF"/>
        </w:rPr>
        <w:t>Discretion?.</w:t>
      </w:r>
      <w:proofErr w:type="gramEnd"/>
      <w:r w:rsidRPr="00B425BD">
        <w:rPr>
          <w:rFonts w:cstheme="minorHAnsi"/>
          <w:color w:val="222222"/>
          <w:sz w:val="24"/>
          <w:szCs w:val="24"/>
          <w:shd w:val="clear" w:color="auto" w:fill="FFFFFF"/>
        </w:rPr>
        <w:t> </w:t>
      </w:r>
      <w:r w:rsidRPr="00B425BD">
        <w:rPr>
          <w:rFonts w:cstheme="minorHAnsi"/>
          <w:i/>
          <w:iCs/>
          <w:color w:val="222222"/>
          <w:sz w:val="24"/>
          <w:szCs w:val="24"/>
          <w:shd w:val="clear" w:color="auto" w:fill="FFFFFF"/>
        </w:rPr>
        <w:t>The Modern Law Review</w:t>
      </w:r>
      <w:r w:rsidRPr="00B425BD">
        <w:rPr>
          <w:rFonts w:cstheme="minorHAnsi"/>
          <w:color w:val="222222"/>
          <w:sz w:val="24"/>
          <w:szCs w:val="24"/>
          <w:shd w:val="clear" w:color="auto" w:fill="FFFFFF"/>
        </w:rPr>
        <w:t>, </w:t>
      </w:r>
      <w:r w:rsidRPr="00B425BD">
        <w:rPr>
          <w:rFonts w:cstheme="minorHAnsi"/>
          <w:i/>
          <w:iCs/>
          <w:color w:val="222222"/>
          <w:sz w:val="24"/>
          <w:szCs w:val="24"/>
          <w:shd w:val="clear" w:color="auto" w:fill="FFFFFF"/>
        </w:rPr>
        <w:t>29</w:t>
      </w:r>
      <w:r w:rsidRPr="00B425BD">
        <w:rPr>
          <w:rFonts w:cstheme="minorHAnsi"/>
          <w:color w:val="222222"/>
          <w:sz w:val="24"/>
          <w:szCs w:val="24"/>
          <w:shd w:val="clear" w:color="auto" w:fill="FFFFFF"/>
        </w:rPr>
        <w:t>(3), 334-337.</w:t>
      </w:r>
    </w:p>
    <w:p w14:paraId="1DEB4861" w14:textId="77777777" w:rsidR="00F94145" w:rsidRPr="00B425BD" w:rsidRDefault="00F94145" w:rsidP="00E37245">
      <w:pPr>
        <w:spacing w:line="480" w:lineRule="auto"/>
        <w:rPr>
          <w:rFonts w:cstheme="minorHAnsi"/>
          <w:sz w:val="24"/>
          <w:szCs w:val="24"/>
        </w:rPr>
      </w:pPr>
      <w:r w:rsidRPr="00B425BD">
        <w:rPr>
          <w:rFonts w:cstheme="minorHAnsi"/>
          <w:i/>
          <w:sz w:val="24"/>
          <w:szCs w:val="24"/>
        </w:rPr>
        <w:t xml:space="preserve">Ropaigealach v Barclays Bank Plc </w:t>
      </w:r>
      <w:r w:rsidR="00D1250C" w:rsidRPr="00B425BD">
        <w:rPr>
          <w:rFonts w:cstheme="minorHAnsi"/>
          <w:sz w:val="24"/>
          <w:szCs w:val="24"/>
        </w:rPr>
        <w:t>[</w:t>
      </w:r>
      <w:r w:rsidRPr="00B425BD">
        <w:rPr>
          <w:rFonts w:cstheme="minorHAnsi"/>
          <w:sz w:val="24"/>
          <w:szCs w:val="24"/>
        </w:rPr>
        <w:t>2000</w:t>
      </w:r>
      <w:r w:rsidR="00D1250C" w:rsidRPr="00B425BD">
        <w:rPr>
          <w:rFonts w:cstheme="minorHAnsi"/>
          <w:sz w:val="24"/>
          <w:szCs w:val="24"/>
        </w:rPr>
        <w:t>]</w:t>
      </w:r>
      <w:r w:rsidRPr="00B425BD">
        <w:rPr>
          <w:rFonts w:cstheme="minorHAnsi"/>
          <w:sz w:val="24"/>
          <w:szCs w:val="24"/>
        </w:rPr>
        <w:t xml:space="preserve"> QB 263</w:t>
      </w:r>
    </w:p>
    <w:p w14:paraId="66447964" w14:textId="77777777" w:rsidR="00F94145" w:rsidRPr="00B425BD" w:rsidRDefault="00F94145" w:rsidP="00E37245">
      <w:pPr>
        <w:spacing w:line="480" w:lineRule="auto"/>
        <w:rPr>
          <w:rFonts w:cstheme="minorHAnsi"/>
          <w:iCs/>
          <w:sz w:val="24"/>
          <w:szCs w:val="24"/>
        </w:rPr>
      </w:pPr>
      <w:r w:rsidRPr="00B425BD">
        <w:rPr>
          <w:rFonts w:cstheme="minorHAnsi"/>
          <w:i/>
          <w:sz w:val="24"/>
          <w:szCs w:val="24"/>
        </w:rPr>
        <w:t xml:space="preserve">Rudge v Richens </w:t>
      </w:r>
      <w:r w:rsidR="00F97F2D" w:rsidRPr="00B425BD">
        <w:rPr>
          <w:rFonts w:cstheme="minorHAnsi"/>
          <w:iCs/>
          <w:sz w:val="24"/>
          <w:szCs w:val="24"/>
        </w:rPr>
        <w:t>[</w:t>
      </w:r>
      <w:r w:rsidRPr="00B425BD">
        <w:rPr>
          <w:rFonts w:cstheme="minorHAnsi"/>
          <w:iCs/>
          <w:sz w:val="24"/>
          <w:szCs w:val="24"/>
        </w:rPr>
        <w:t>1872</w:t>
      </w:r>
      <w:r w:rsidR="00F97F2D" w:rsidRPr="00B425BD">
        <w:rPr>
          <w:rFonts w:cstheme="minorHAnsi"/>
          <w:iCs/>
          <w:sz w:val="24"/>
          <w:szCs w:val="24"/>
        </w:rPr>
        <w:t>–</w:t>
      </w:r>
      <w:r w:rsidRPr="00B425BD">
        <w:rPr>
          <w:rFonts w:cstheme="minorHAnsi"/>
          <w:iCs/>
          <w:sz w:val="24"/>
          <w:szCs w:val="24"/>
        </w:rPr>
        <w:t>73</w:t>
      </w:r>
      <w:r w:rsidR="00F97F2D" w:rsidRPr="00B425BD">
        <w:rPr>
          <w:rFonts w:cstheme="minorHAnsi"/>
          <w:iCs/>
          <w:sz w:val="24"/>
          <w:szCs w:val="24"/>
        </w:rPr>
        <w:t>]</w:t>
      </w:r>
      <w:r w:rsidRPr="00B425BD">
        <w:rPr>
          <w:rFonts w:cstheme="minorHAnsi"/>
          <w:iCs/>
          <w:sz w:val="24"/>
          <w:szCs w:val="24"/>
        </w:rPr>
        <w:t xml:space="preserve"> LR 8 CP 358</w:t>
      </w:r>
    </w:p>
    <w:p w14:paraId="6BF1EE75" w14:textId="77777777" w:rsidR="00EA441D" w:rsidRPr="00B425BD" w:rsidRDefault="0006484F" w:rsidP="00E37245">
      <w:pPr>
        <w:spacing w:line="480" w:lineRule="auto"/>
        <w:rPr>
          <w:rFonts w:cstheme="minorHAnsi"/>
          <w:color w:val="222222"/>
          <w:sz w:val="24"/>
          <w:szCs w:val="24"/>
          <w:shd w:val="clear" w:color="auto" w:fill="FFFFFF"/>
        </w:rPr>
      </w:pPr>
      <w:r w:rsidRPr="00B425BD">
        <w:rPr>
          <w:rFonts w:cstheme="minorHAnsi"/>
          <w:color w:val="222222"/>
          <w:sz w:val="24"/>
          <w:szCs w:val="24"/>
          <w:shd w:val="clear" w:color="auto" w:fill="FFFFFF"/>
        </w:rPr>
        <w:t>Whitehouse, L. (2009). The Mortgage Arrears Pre‐Action Protocol: An Opportunity Lost. </w:t>
      </w:r>
      <w:r w:rsidRPr="00B425BD">
        <w:rPr>
          <w:rFonts w:cstheme="minorHAnsi"/>
          <w:i/>
          <w:iCs/>
          <w:color w:val="222222"/>
          <w:sz w:val="24"/>
          <w:szCs w:val="24"/>
          <w:shd w:val="clear" w:color="auto" w:fill="FFFFFF"/>
        </w:rPr>
        <w:t>The Modern Law Review</w:t>
      </w:r>
      <w:r w:rsidRPr="00B425BD">
        <w:rPr>
          <w:rFonts w:cstheme="minorHAnsi"/>
          <w:color w:val="222222"/>
          <w:sz w:val="24"/>
          <w:szCs w:val="24"/>
          <w:shd w:val="clear" w:color="auto" w:fill="FFFFFF"/>
        </w:rPr>
        <w:t>, </w:t>
      </w:r>
      <w:r w:rsidRPr="00B425BD">
        <w:rPr>
          <w:rFonts w:cstheme="minorHAnsi"/>
          <w:i/>
          <w:iCs/>
          <w:color w:val="222222"/>
          <w:sz w:val="24"/>
          <w:szCs w:val="24"/>
          <w:shd w:val="clear" w:color="auto" w:fill="FFFFFF"/>
        </w:rPr>
        <w:t>72</w:t>
      </w:r>
      <w:r w:rsidRPr="00B425BD">
        <w:rPr>
          <w:rFonts w:cstheme="minorHAnsi"/>
          <w:color w:val="222222"/>
          <w:sz w:val="24"/>
          <w:szCs w:val="24"/>
          <w:shd w:val="clear" w:color="auto" w:fill="FFFFFF"/>
        </w:rPr>
        <w:t>(5), 793-814.</w:t>
      </w:r>
    </w:p>
    <w:p w14:paraId="3B55E562" w14:textId="77777777" w:rsidR="00EA441D" w:rsidRPr="00B425BD" w:rsidRDefault="0006484F" w:rsidP="00E37245">
      <w:pPr>
        <w:spacing w:line="480" w:lineRule="auto"/>
        <w:rPr>
          <w:rFonts w:cstheme="minorHAnsi"/>
          <w:iCs/>
          <w:sz w:val="24"/>
          <w:szCs w:val="24"/>
        </w:rPr>
      </w:pPr>
      <w:r w:rsidRPr="00B425BD">
        <w:rPr>
          <w:rFonts w:cstheme="minorHAnsi"/>
          <w:color w:val="222222"/>
          <w:sz w:val="24"/>
          <w:szCs w:val="24"/>
          <w:shd w:val="clear" w:color="auto" w:fill="FFFFFF"/>
        </w:rPr>
        <w:t>Whitehouse, L. (2011). Mapping the Boundaries of the Law of Mortgage: The Repossession Process in Practice. In </w:t>
      </w:r>
      <w:r w:rsidRPr="00B425BD">
        <w:rPr>
          <w:rFonts w:cstheme="minorHAnsi"/>
          <w:i/>
          <w:iCs/>
          <w:color w:val="222222"/>
          <w:sz w:val="24"/>
          <w:szCs w:val="24"/>
          <w:shd w:val="clear" w:color="auto" w:fill="FFFFFF"/>
        </w:rPr>
        <w:t>Boundaries of Commercial and Trade Law</w:t>
      </w:r>
      <w:r w:rsidRPr="00B425BD">
        <w:rPr>
          <w:rFonts w:cstheme="minorHAnsi"/>
          <w:color w:val="222222"/>
          <w:sz w:val="24"/>
          <w:szCs w:val="24"/>
          <w:shd w:val="clear" w:color="auto" w:fill="FFFFFF"/>
        </w:rPr>
        <w:t> (pp. 51-74). sellier european law publishers.</w:t>
      </w:r>
    </w:p>
    <w:p w14:paraId="694DA336" w14:textId="77777777" w:rsidR="00EA441D" w:rsidRPr="00E37245" w:rsidRDefault="00EA441D" w:rsidP="00E37245">
      <w:pPr>
        <w:spacing w:line="480" w:lineRule="auto"/>
        <w:rPr>
          <w:rFonts w:cstheme="minorHAnsi"/>
          <w:iCs/>
          <w:sz w:val="24"/>
          <w:szCs w:val="24"/>
          <w:u w:val="single"/>
        </w:rPr>
      </w:pPr>
    </w:p>
    <w:sectPr w:rsidR="00EA441D" w:rsidRPr="00E37245" w:rsidSect="00AA76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2D31B" w14:textId="77777777" w:rsidR="007C5D20" w:rsidRDefault="007C5D20" w:rsidP="00534D3C">
      <w:pPr>
        <w:spacing w:after="0" w:line="240" w:lineRule="auto"/>
      </w:pPr>
      <w:r>
        <w:separator/>
      </w:r>
    </w:p>
  </w:endnote>
  <w:endnote w:type="continuationSeparator" w:id="0">
    <w:p w14:paraId="1D4734C7" w14:textId="77777777" w:rsidR="007C5D20" w:rsidRDefault="007C5D20" w:rsidP="0053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A012B" w14:textId="77777777" w:rsidR="007C5D20" w:rsidRDefault="007C5D20" w:rsidP="00534D3C">
      <w:pPr>
        <w:spacing w:after="0" w:line="240" w:lineRule="auto"/>
      </w:pPr>
      <w:r>
        <w:separator/>
      </w:r>
    </w:p>
  </w:footnote>
  <w:footnote w:type="continuationSeparator" w:id="0">
    <w:p w14:paraId="129875EB" w14:textId="77777777" w:rsidR="007C5D20" w:rsidRDefault="007C5D20" w:rsidP="00534D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C5E"/>
    <w:rsid w:val="00020817"/>
    <w:rsid w:val="000534C5"/>
    <w:rsid w:val="00062073"/>
    <w:rsid w:val="0006484F"/>
    <w:rsid w:val="00094375"/>
    <w:rsid w:val="000E77CC"/>
    <w:rsid w:val="000F558E"/>
    <w:rsid w:val="0018794C"/>
    <w:rsid w:val="001A1F51"/>
    <w:rsid w:val="001A5735"/>
    <w:rsid w:val="001A68F3"/>
    <w:rsid w:val="001E532D"/>
    <w:rsid w:val="00211F81"/>
    <w:rsid w:val="00235ED8"/>
    <w:rsid w:val="002574C1"/>
    <w:rsid w:val="00293F52"/>
    <w:rsid w:val="002A323A"/>
    <w:rsid w:val="002C3A85"/>
    <w:rsid w:val="003A025C"/>
    <w:rsid w:val="003B4E54"/>
    <w:rsid w:val="003B5F1F"/>
    <w:rsid w:val="003E2B69"/>
    <w:rsid w:val="003F0EC0"/>
    <w:rsid w:val="00402AC6"/>
    <w:rsid w:val="00414EAA"/>
    <w:rsid w:val="004506A0"/>
    <w:rsid w:val="00466C5E"/>
    <w:rsid w:val="00475407"/>
    <w:rsid w:val="004A4113"/>
    <w:rsid w:val="004A41BF"/>
    <w:rsid w:val="004B0694"/>
    <w:rsid w:val="004E18AC"/>
    <w:rsid w:val="00500552"/>
    <w:rsid w:val="005204E5"/>
    <w:rsid w:val="00527772"/>
    <w:rsid w:val="00534D3C"/>
    <w:rsid w:val="00580DFA"/>
    <w:rsid w:val="005B198B"/>
    <w:rsid w:val="00600109"/>
    <w:rsid w:val="006123AC"/>
    <w:rsid w:val="0063698E"/>
    <w:rsid w:val="00642355"/>
    <w:rsid w:val="006A02DC"/>
    <w:rsid w:val="006C1B8F"/>
    <w:rsid w:val="006C7EF3"/>
    <w:rsid w:val="006F2BD4"/>
    <w:rsid w:val="006F6D9F"/>
    <w:rsid w:val="00706E9A"/>
    <w:rsid w:val="0074769F"/>
    <w:rsid w:val="00753EF1"/>
    <w:rsid w:val="0078463C"/>
    <w:rsid w:val="007A35FD"/>
    <w:rsid w:val="007C5D20"/>
    <w:rsid w:val="00827D59"/>
    <w:rsid w:val="00843349"/>
    <w:rsid w:val="008C5B05"/>
    <w:rsid w:val="00904786"/>
    <w:rsid w:val="00930A03"/>
    <w:rsid w:val="0096735B"/>
    <w:rsid w:val="00995657"/>
    <w:rsid w:val="009C2015"/>
    <w:rsid w:val="00A30BE4"/>
    <w:rsid w:val="00A7593E"/>
    <w:rsid w:val="00AA76C4"/>
    <w:rsid w:val="00AB2BA1"/>
    <w:rsid w:val="00AD5D8B"/>
    <w:rsid w:val="00AD74B7"/>
    <w:rsid w:val="00B167DE"/>
    <w:rsid w:val="00B32921"/>
    <w:rsid w:val="00B425BD"/>
    <w:rsid w:val="00B70776"/>
    <w:rsid w:val="00C05708"/>
    <w:rsid w:val="00C2063A"/>
    <w:rsid w:val="00C413A8"/>
    <w:rsid w:val="00CB2CF0"/>
    <w:rsid w:val="00D1250C"/>
    <w:rsid w:val="00D72314"/>
    <w:rsid w:val="00DA3A68"/>
    <w:rsid w:val="00DD6DBA"/>
    <w:rsid w:val="00E126E5"/>
    <w:rsid w:val="00E276A3"/>
    <w:rsid w:val="00E36F7C"/>
    <w:rsid w:val="00E37245"/>
    <w:rsid w:val="00E77592"/>
    <w:rsid w:val="00E85DB9"/>
    <w:rsid w:val="00EA441D"/>
    <w:rsid w:val="00EF2D06"/>
    <w:rsid w:val="00F27C12"/>
    <w:rsid w:val="00F36CAF"/>
    <w:rsid w:val="00F44671"/>
    <w:rsid w:val="00F94145"/>
    <w:rsid w:val="00F97F2D"/>
    <w:rsid w:val="00FA1DAF"/>
    <w:rsid w:val="00FF3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8CCBA"/>
  <w15:docId w15:val="{3ACBA3DA-8760-3F4D-BC53-74BC85D5A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6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F0EC0"/>
    <w:rPr>
      <w:b/>
      <w:bCs/>
    </w:rPr>
  </w:style>
  <w:style w:type="paragraph" w:styleId="Header">
    <w:name w:val="header"/>
    <w:basedOn w:val="Normal"/>
    <w:link w:val="HeaderChar"/>
    <w:uiPriority w:val="99"/>
    <w:unhideWhenUsed/>
    <w:rsid w:val="0053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D3C"/>
  </w:style>
  <w:style w:type="paragraph" w:styleId="Footer">
    <w:name w:val="footer"/>
    <w:basedOn w:val="Normal"/>
    <w:link w:val="FooterChar"/>
    <w:uiPriority w:val="99"/>
    <w:unhideWhenUsed/>
    <w:rsid w:val="0053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D3C"/>
  </w:style>
  <w:style w:type="character" w:styleId="Emphasis">
    <w:name w:val="Emphasis"/>
    <w:basedOn w:val="DefaultParagraphFont"/>
    <w:uiPriority w:val="20"/>
    <w:qFormat/>
    <w:rsid w:val="0018794C"/>
    <w:rPr>
      <w:i/>
      <w:iCs/>
    </w:rPr>
  </w:style>
  <w:style w:type="character" w:customStyle="1" w:styleId="st1">
    <w:name w:val="st1"/>
    <w:basedOn w:val="DefaultParagraphFont"/>
    <w:rsid w:val="00A30BE4"/>
  </w:style>
  <w:style w:type="character" w:styleId="CommentReference">
    <w:name w:val="annotation reference"/>
    <w:basedOn w:val="DefaultParagraphFont"/>
    <w:uiPriority w:val="99"/>
    <w:semiHidden/>
    <w:unhideWhenUsed/>
    <w:rsid w:val="00235ED8"/>
    <w:rPr>
      <w:sz w:val="16"/>
      <w:szCs w:val="16"/>
    </w:rPr>
  </w:style>
  <w:style w:type="paragraph" w:styleId="CommentText">
    <w:name w:val="annotation text"/>
    <w:basedOn w:val="Normal"/>
    <w:link w:val="CommentTextChar"/>
    <w:uiPriority w:val="99"/>
    <w:semiHidden/>
    <w:unhideWhenUsed/>
    <w:rsid w:val="00235ED8"/>
    <w:pPr>
      <w:spacing w:line="240" w:lineRule="auto"/>
    </w:pPr>
    <w:rPr>
      <w:sz w:val="20"/>
      <w:szCs w:val="20"/>
    </w:rPr>
  </w:style>
  <w:style w:type="character" w:customStyle="1" w:styleId="CommentTextChar">
    <w:name w:val="Comment Text Char"/>
    <w:basedOn w:val="DefaultParagraphFont"/>
    <w:link w:val="CommentText"/>
    <w:uiPriority w:val="99"/>
    <w:semiHidden/>
    <w:rsid w:val="00235ED8"/>
    <w:rPr>
      <w:sz w:val="20"/>
      <w:szCs w:val="20"/>
    </w:rPr>
  </w:style>
  <w:style w:type="paragraph" w:styleId="CommentSubject">
    <w:name w:val="annotation subject"/>
    <w:basedOn w:val="CommentText"/>
    <w:next w:val="CommentText"/>
    <w:link w:val="CommentSubjectChar"/>
    <w:uiPriority w:val="99"/>
    <w:semiHidden/>
    <w:unhideWhenUsed/>
    <w:rsid w:val="00235ED8"/>
    <w:rPr>
      <w:b/>
      <w:bCs/>
    </w:rPr>
  </w:style>
  <w:style w:type="character" w:customStyle="1" w:styleId="CommentSubjectChar">
    <w:name w:val="Comment Subject Char"/>
    <w:basedOn w:val="CommentTextChar"/>
    <w:link w:val="CommentSubject"/>
    <w:uiPriority w:val="99"/>
    <w:semiHidden/>
    <w:rsid w:val="00235ED8"/>
    <w:rPr>
      <w:b/>
      <w:bCs/>
      <w:sz w:val="20"/>
      <w:szCs w:val="20"/>
    </w:rPr>
  </w:style>
  <w:style w:type="paragraph" w:styleId="Revision">
    <w:name w:val="Revision"/>
    <w:hidden/>
    <w:uiPriority w:val="99"/>
    <w:semiHidden/>
    <w:rsid w:val="00AD74B7"/>
    <w:pPr>
      <w:spacing w:after="0" w:line="240" w:lineRule="auto"/>
    </w:pPr>
  </w:style>
  <w:style w:type="paragraph" w:styleId="BalloonText">
    <w:name w:val="Balloon Text"/>
    <w:basedOn w:val="Normal"/>
    <w:link w:val="BalloonTextChar"/>
    <w:uiPriority w:val="99"/>
    <w:semiHidden/>
    <w:unhideWhenUsed/>
    <w:rsid w:val="00C05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7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5B924-1445-4C53-9043-ED96416AD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2795</Words>
  <Characters>15938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Naima Tasnim</cp:lastModifiedBy>
  <cp:revision>12</cp:revision>
  <dcterms:created xsi:type="dcterms:W3CDTF">2021-12-20T22:23:00Z</dcterms:created>
  <dcterms:modified xsi:type="dcterms:W3CDTF">2022-01-04T12:21:00Z</dcterms:modified>
</cp:coreProperties>
</file>