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7D170" w14:textId="089900C3" w:rsidR="00C97985" w:rsidRDefault="00C97985" w:rsidP="00212DA7">
      <w:r>
        <w:t>Employee Relationship Management          Melanie Warne – Cohort 10</w:t>
      </w:r>
    </w:p>
    <w:p w14:paraId="5D6731D8" w14:textId="77777777" w:rsidR="00C97985" w:rsidRDefault="00C97985" w:rsidP="00212DA7"/>
    <w:p w14:paraId="321B98E1" w14:textId="52684012" w:rsidR="00EF2B31" w:rsidRPr="00EF2B31" w:rsidRDefault="00EF2B31" w:rsidP="00212DA7">
      <w:pPr>
        <w:rPr>
          <w:rFonts w:ascii="Calibri" w:hAnsi="Calibri" w:cs="Calibri"/>
          <w:sz w:val="22"/>
        </w:rPr>
      </w:pPr>
      <w:r w:rsidRPr="00EF2B31">
        <w:rPr>
          <w:rFonts w:ascii="Calibri" w:hAnsi="Calibri" w:cs="Calibri"/>
          <w:sz w:val="22"/>
        </w:rPr>
        <w:t>AC 1.1</w:t>
      </w:r>
    </w:p>
    <w:p w14:paraId="77F38E50" w14:textId="77777777" w:rsidR="00F826B6" w:rsidRDefault="00F826B6" w:rsidP="00F826B6">
      <w:pPr>
        <w:rPr>
          <w:rFonts w:ascii="Calibri" w:hAnsi="Calibri" w:cs="Calibri"/>
          <w:sz w:val="22"/>
        </w:rPr>
      </w:pPr>
      <w:r w:rsidRPr="00F826B6">
        <w:rPr>
          <w:rFonts w:ascii="Calibri" w:hAnsi="Calibri" w:cs="Calibri"/>
          <w:sz w:val="22"/>
        </w:rPr>
        <w:t>Employee involvement and employee participation are two complementary but distinct approaches to engaging staff in the workplace. Both support improved working relationships, but they do so through different mechanisms and levels of formality.</w:t>
      </w:r>
    </w:p>
    <w:p w14:paraId="55A7831E" w14:textId="77777777" w:rsidR="00F826B6" w:rsidRPr="00260495" w:rsidRDefault="00F826B6" w:rsidP="00F826B6">
      <w:pPr>
        <w:rPr>
          <w:rFonts w:ascii="Calibri" w:hAnsi="Calibri" w:cs="Calibri"/>
          <w:sz w:val="22"/>
        </w:rPr>
      </w:pPr>
      <w:r w:rsidRPr="00260495">
        <w:rPr>
          <w:rFonts w:ascii="Calibri" w:hAnsi="Calibri" w:cs="Calibri"/>
          <w:sz w:val="22"/>
        </w:rPr>
        <w:t>Employee involvement refers to informal, often management-initiated opportunities for staff to contribute to decision-making. It does not typically require formal structures or legal frameworks. Common examples include team briefings, suggestion schemes, problem-solving groups, and feedback surveys. As Armstrong (2020) explains, involvement is centred on encouraging commitment by enabling employees to influence decisions that affect their work. It supports a sense of ownership and recognition without requiring negotiation or collective bargaining.</w:t>
      </w:r>
    </w:p>
    <w:p w14:paraId="165DF549" w14:textId="77777777" w:rsidR="00F826B6" w:rsidRDefault="00F826B6" w:rsidP="00F826B6">
      <w:pPr>
        <w:rPr>
          <w:rFonts w:ascii="Calibri" w:hAnsi="Calibri" w:cs="Calibri"/>
          <w:sz w:val="22"/>
        </w:rPr>
      </w:pPr>
      <w:r w:rsidRPr="00260495">
        <w:rPr>
          <w:rFonts w:ascii="Calibri" w:hAnsi="Calibri" w:cs="Calibri"/>
          <w:sz w:val="22"/>
        </w:rPr>
        <w:t>Employee participation, on the other hand, is a more formal and structured process where employees (or their representatives) are given a platform to influence organisational decisions. This often takes the form of</w:t>
      </w:r>
      <w:r w:rsidRPr="00F826B6">
        <w:rPr>
          <w:rFonts w:ascii="Calibri" w:hAnsi="Calibri" w:cs="Calibri"/>
          <w:sz w:val="22"/>
        </w:rPr>
        <w:t xml:space="preserve"> trade union involvement, joint consultative committees, or elected staff councils. Daniels (2022) notes that participation usually involves some transfer of decision-making power, such as through collective bargaining or formal consultation on strategic changes. It is typically underpinned by statutory rights, especially in the public sector, where union involvement is common and often embedded in policy.</w:t>
      </w:r>
    </w:p>
    <w:p w14:paraId="2D97ADC3" w14:textId="77777777" w:rsidR="00F826B6" w:rsidRDefault="00F826B6" w:rsidP="00F826B6">
      <w:pPr>
        <w:rPr>
          <w:rFonts w:ascii="Calibri" w:hAnsi="Calibri" w:cs="Calibri"/>
          <w:sz w:val="22"/>
        </w:rPr>
      </w:pPr>
      <w:r w:rsidRPr="00F826B6">
        <w:rPr>
          <w:rFonts w:ascii="Calibri" w:hAnsi="Calibri" w:cs="Calibri"/>
          <w:i/>
          <w:iCs/>
          <w:sz w:val="22"/>
        </w:rPr>
        <w:t>Employment Law: A Practical Introduction</w:t>
      </w:r>
      <w:r w:rsidRPr="00F826B6">
        <w:rPr>
          <w:rFonts w:ascii="Calibri" w:hAnsi="Calibri" w:cs="Calibri"/>
          <w:sz w:val="22"/>
        </w:rPr>
        <w:t xml:space="preserve"> (2020) reinforces that participation has legal weight when it comes to consultation over redundancies or TUPE, whereas involvement is more discretionary and focused on day-to-day operations.</w:t>
      </w:r>
    </w:p>
    <w:p w14:paraId="2EF1ED2E" w14:textId="77777777" w:rsidR="00F826B6" w:rsidRDefault="00F826B6" w:rsidP="00F826B6">
      <w:pPr>
        <w:rPr>
          <w:rFonts w:ascii="Calibri" w:hAnsi="Calibri" w:cs="Calibri"/>
          <w:sz w:val="22"/>
        </w:rPr>
      </w:pPr>
      <w:r w:rsidRPr="00F826B6">
        <w:rPr>
          <w:rFonts w:ascii="Calibri" w:hAnsi="Calibri" w:cs="Calibri"/>
          <w:sz w:val="22"/>
        </w:rPr>
        <w:t>Both approaches contribute to relationship-building, but in different ways. Involvement fosters psychological engagement by showing that individual voices matter, helping to build trust between staff and management. Participation enhances trust and procedural fairness through structured, representative processes—giving employees reassurance that their interests are formally considered.</w:t>
      </w:r>
    </w:p>
    <w:p w14:paraId="1224C14D" w14:textId="77777777" w:rsidR="00F826B6" w:rsidRDefault="00F826B6" w:rsidP="00F826B6">
      <w:pPr>
        <w:rPr>
          <w:rFonts w:ascii="Calibri" w:hAnsi="Calibri" w:cs="Calibri"/>
          <w:sz w:val="22"/>
        </w:rPr>
      </w:pPr>
      <w:r w:rsidRPr="00F826B6">
        <w:rPr>
          <w:rFonts w:ascii="Calibri" w:hAnsi="Calibri" w:cs="Calibri"/>
          <w:sz w:val="22"/>
        </w:rPr>
        <w:t>The Involvement and Participation Association (IPA, 2023) found that meaningful participation improves productivity, cooperation, and job satisfaction. In a post-merger public sector context, combining both approaches can help align private-sector leadership styles with public-sector expectations around fairness and transparency. Participation through trade unions or staff forums can provide consistency and credibility, while involvement mechanisms can support continuous improvement and innovation.</w:t>
      </w:r>
    </w:p>
    <w:p w14:paraId="2718544E" w14:textId="77777777" w:rsidR="00F826B6" w:rsidRPr="00F826B6" w:rsidRDefault="00F826B6" w:rsidP="00F826B6">
      <w:pPr>
        <w:rPr>
          <w:rFonts w:ascii="Calibri" w:hAnsi="Calibri" w:cs="Calibri"/>
          <w:sz w:val="22"/>
        </w:rPr>
      </w:pPr>
      <w:r w:rsidRPr="00F826B6">
        <w:rPr>
          <w:rFonts w:ascii="Calibri" w:hAnsi="Calibri" w:cs="Calibri"/>
          <w:sz w:val="22"/>
        </w:rPr>
        <w:t>Ultimately, employee involvement promotes engagement through influence, while employee participation ensures protection and shared decision-making through representation. Both are necessary for a healthy, inclusive workplace culture—especially during times of structural change.</w:t>
      </w:r>
    </w:p>
    <w:p w14:paraId="0417C620" w14:textId="77777777" w:rsidR="00EF2B31" w:rsidRDefault="00EF2B31" w:rsidP="00212DA7">
      <w:pPr>
        <w:rPr>
          <w:rFonts w:ascii="Calibri" w:hAnsi="Calibri" w:cs="Calibri"/>
          <w:sz w:val="22"/>
        </w:rPr>
      </w:pPr>
    </w:p>
    <w:p w14:paraId="042A5222" w14:textId="0A817FEA" w:rsidR="00EF2B31" w:rsidRDefault="00EF2B31" w:rsidP="00212DA7">
      <w:pPr>
        <w:rPr>
          <w:rFonts w:ascii="Calibri" w:hAnsi="Calibri" w:cs="Calibri"/>
          <w:sz w:val="22"/>
        </w:rPr>
      </w:pPr>
      <w:r>
        <w:rPr>
          <w:rFonts w:ascii="Calibri" w:hAnsi="Calibri" w:cs="Calibri"/>
          <w:sz w:val="22"/>
        </w:rPr>
        <w:t>AC 1.2</w:t>
      </w:r>
    </w:p>
    <w:p w14:paraId="1A10A89E" w14:textId="70912B30" w:rsidR="00F826B6" w:rsidRPr="00260495" w:rsidRDefault="00EF2B31" w:rsidP="00F826B6">
      <w:pPr>
        <w:rPr>
          <w:rFonts w:ascii="Calibri" w:hAnsi="Calibri" w:cs="Calibri"/>
          <w:sz w:val="22"/>
        </w:rPr>
      </w:pPr>
      <w:r w:rsidRPr="00260495">
        <w:rPr>
          <w:rFonts w:ascii="Calibri" w:hAnsi="Calibri" w:cs="Calibri"/>
          <w:sz w:val="22"/>
        </w:rPr>
        <w:t>Ultimately, the success of any representation model depends on mutual respect, transparency, and a genuine commitment to dialogue.</w:t>
      </w:r>
      <w:r w:rsidR="00F826B6" w:rsidRPr="00260495">
        <w:rPr>
          <w:rFonts w:ascii="Calibri" w:hAnsi="Calibri" w:cs="Calibri"/>
          <w:sz w:val="22"/>
        </w:rPr>
        <w:t xml:space="preserve"> Employee representation exists in both union and non-union forms, each offering distinct mechanisms for employee voice and influence. In a public sector environment—especially post-merger—it’s essential to understand the benefits and boundaries of both models to maintain fair, effective employee relations.</w:t>
      </w:r>
    </w:p>
    <w:p w14:paraId="7CC64AA9" w14:textId="77777777" w:rsidR="00F826B6" w:rsidRPr="00260495" w:rsidRDefault="00F826B6" w:rsidP="00F826B6">
      <w:pPr>
        <w:rPr>
          <w:rFonts w:ascii="Calibri" w:hAnsi="Calibri" w:cs="Calibri"/>
          <w:sz w:val="22"/>
        </w:rPr>
      </w:pPr>
      <w:r w:rsidRPr="00260495">
        <w:rPr>
          <w:rFonts w:ascii="Calibri" w:hAnsi="Calibri" w:cs="Calibri"/>
          <w:sz w:val="22"/>
        </w:rPr>
        <w:t xml:space="preserve">Union representation is the more formalised and legally grounded approach. Employees are represented by trade unions that negotiate with employers on matters such as pay, working conditions, and policy changes. Recognised trade unions also have statutory rights to be consulted over significant organisational decisions, such as redundancies or TUPE transfers, as outlined in the </w:t>
      </w:r>
      <w:r w:rsidRPr="00260495">
        <w:rPr>
          <w:rFonts w:ascii="Calibri" w:hAnsi="Calibri" w:cs="Calibri"/>
          <w:i/>
          <w:iCs/>
          <w:sz w:val="22"/>
        </w:rPr>
        <w:t>Employment Rights Act 1996</w:t>
      </w:r>
      <w:r w:rsidRPr="00260495">
        <w:rPr>
          <w:rFonts w:ascii="Calibri" w:hAnsi="Calibri" w:cs="Calibri"/>
          <w:sz w:val="22"/>
        </w:rPr>
        <w:t xml:space="preserve"> and reinforced in </w:t>
      </w:r>
      <w:r w:rsidRPr="00260495">
        <w:rPr>
          <w:rFonts w:ascii="Calibri" w:hAnsi="Calibri" w:cs="Calibri"/>
          <w:i/>
          <w:iCs/>
          <w:sz w:val="22"/>
        </w:rPr>
        <w:t>Employment Law: A Practical Introduction</w:t>
      </w:r>
      <w:r w:rsidRPr="00260495">
        <w:rPr>
          <w:rFonts w:ascii="Calibri" w:hAnsi="Calibri" w:cs="Calibri"/>
          <w:sz w:val="22"/>
        </w:rPr>
        <w:t xml:space="preserve"> (Holland and Allen, 2020). Daniels (2022) notes that these legal protections ensure that unions can advocate independently and effectively on behalf of their members.</w:t>
      </w:r>
    </w:p>
    <w:p w14:paraId="5E2B1DEB" w14:textId="77777777" w:rsidR="00F826B6" w:rsidRPr="00260495" w:rsidRDefault="00F826B6" w:rsidP="00F826B6">
      <w:pPr>
        <w:rPr>
          <w:rFonts w:ascii="Calibri" w:hAnsi="Calibri" w:cs="Calibri"/>
          <w:sz w:val="22"/>
        </w:rPr>
      </w:pPr>
      <w:r w:rsidRPr="00260495">
        <w:rPr>
          <w:rFonts w:ascii="Calibri" w:hAnsi="Calibri" w:cs="Calibri"/>
          <w:sz w:val="22"/>
        </w:rPr>
        <w:t>In unionised settings, representatives (often known as shop stewards) act as a formal bridge between employees and leadership. Armstrong (2020) adds that union involvement is linked to stronger procedural fairness, particularly in managing conflict, disciplinary issues, or organisational change. For the newly merged public sector organisation in your scenario, existing union recognition arrangements offer a stable and credible route for managing uncertainty and protecting staff interests.</w:t>
      </w:r>
    </w:p>
    <w:p w14:paraId="3E33316A" w14:textId="40F66BA8" w:rsidR="00F826B6" w:rsidRPr="00260495" w:rsidRDefault="00F826B6" w:rsidP="00F826B6">
      <w:pPr>
        <w:rPr>
          <w:rFonts w:ascii="Calibri" w:hAnsi="Calibri" w:cs="Calibri"/>
          <w:sz w:val="22"/>
        </w:rPr>
      </w:pPr>
      <w:r w:rsidRPr="00260495">
        <w:rPr>
          <w:rFonts w:ascii="Calibri" w:hAnsi="Calibri" w:cs="Calibri"/>
          <w:sz w:val="22"/>
        </w:rPr>
        <w:t xml:space="preserve">Non-union representation, by contrast, includes mechanisms such as staff forums, works councils, and employee consultative committees. These are often employer-initiated and focus on communication, consultation, and engagement rather than collective bargaining. While they don’t carry the same legal rights as </w:t>
      </w:r>
      <w:r w:rsidRPr="00260495">
        <w:rPr>
          <w:rFonts w:ascii="Calibri" w:hAnsi="Calibri" w:cs="Calibri"/>
          <w:sz w:val="22"/>
        </w:rPr>
        <w:lastRenderedPageBreak/>
        <w:t>trade unions, non-union bodies can still be effective in promoting a collaborative culture, especially when employee trust in leadership is high.</w:t>
      </w:r>
    </w:p>
    <w:p w14:paraId="0792C16D" w14:textId="77777777" w:rsidR="00F826B6" w:rsidRPr="00260495" w:rsidRDefault="00F826B6" w:rsidP="00F826B6">
      <w:pPr>
        <w:rPr>
          <w:rFonts w:ascii="Calibri" w:hAnsi="Calibri" w:cs="Calibri"/>
          <w:sz w:val="22"/>
        </w:rPr>
      </w:pPr>
      <w:r w:rsidRPr="00260495">
        <w:rPr>
          <w:rFonts w:ascii="Calibri" w:hAnsi="Calibri" w:cs="Calibri"/>
          <w:sz w:val="22"/>
        </w:rPr>
        <w:t>The IPA (2023) discusses how non-union staff forums have evolved to become more responsive and relevant in modern workplaces. These platforms offer flexibility and can be tailored to suit organisational needs, often giving a voice to employees who may not otherwise engage with formal union structures. However, their legitimacy depends on how empowered they are. Without meaningful influence or independent operation, they risk being perceived as tokenistic.</w:t>
      </w:r>
    </w:p>
    <w:p w14:paraId="24133968" w14:textId="77777777" w:rsidR="00F826B6" w:rsidRPr="00260495" w:rsidRDefault="00F826B6" w:rsidP="00F826B6">
      <w:pPr>
        <w:rPr>
          <w:rFonts w:ascii="Calibri" w:hAnsi="Calibri" w:cs="Calibri"/>
          <w:sz w:val="22"/>
        </w:rPr>
      </w:pPr>
      <w:r w:rsidRPr="00260495">
        <w:rPr>
          <w:rFonts w:ascii="Calibri" w:hAnsi="Calibri" w:cs="Calibri"/>
          <w:sz w:val="22"/>
        </w:rPr>
        <w:t>Both forms of representation can add value. Union representation provides formal power and legal protections, essential for safeguarding employee rights. Non-union forums, when designed with care, can foster dialogue, innovation, and inclusion. As Armstrong (2020) notes, a pluralistic approach—supporting both formal representation and informal consultation—can help balance organisational control with employee empowerment.</w:t>
      </w:r>
    </w:p>
    <w:p w14:paraId="108E1736" w14:textId="77777777" w:rsidR="00F826B6" w:rsidRPr="00260495" w:rsidRDefault="00F826B6" w:rsidP="00F826B6">
      <w:pPr>
        <w:rPr>
          <w:rFonts w:ascii="Calibri" w:hAnsi="Calibri" w:cs="Calibri"/>
          <w:sz w:val="22"/>
        </w:rPr>
      </w:pPr>
      <w:r w:rsidRPr="00260495">
        <w:rPr>
          <w:rFonts w:ascii="Calibri" w:hAnsi="Calibri" w:cs="Calibri"/>
          <w:sz w:val="22"/>
        </w:rPr>
        <w:t>In a merged public sector setting, maintaining recognised union partnerships while strengthening staff forums or hybrid structures could offer the best of both worlds: structured voice and agile responsiveness.</w:t>
      </w:r>
    </w:p>
    <w:p w14:paraId="686AD120" w14:textId="77777777" w:rsidR="00F826B6" w:rsidRPr="00260495" w:rsidRDefault="00F826B6" w:rsidP="00EF2B31">
      <w:pPr>
        <w:rPr>
          <w:rFonts w:ascii="Calibri" w:hAnsi="Calibri" w:cs="Calibri"/>
          <w:sz w:val="22"/>
        </w:rPr>
      </w:pPr>
    </w:p>
    <w:p w14:paraId="0667FEFF" w14:textId="2B407371" w:rsidR="00EF2B31" w:rsidRPr="00260495" w:rsidRDefault="00FF3F5E" w:rsidP="00212DA7">
      <w:pPr>
        <w:rPr>
          <w:rFonts w:ascii="Calibri" w:hAnsi="Calibri" w:cs="Calibri"/>
          <w:sz w:val="22"/>
        </w:rPr>
      </w:pPr>
      <w:r w:rsidRPr="00260495">
        <w:rPr>
          <w:rFonts w:ascii="Calibri" w:hAnsi="Calibri" w:cs="Calibri"/>
          <w:sz w:val="22"/>
        </w:rPr>
        <w:t>AC 1.3</w:t>
      </w:r>
    </w:p>
    <w:p w14:paraId="5262B5D8" w14:textId="77777777" w:rsidR="00F97BEC" w:rsidRPr="00650C94" w:rsidRDefault="00F97BEC" w:rsidP="00F97BEC">
      <w:pPr>
        <w:rPr>
          <w:rFonts w:ascii="Calibri" w:hAnsi="Calibri" w:cs="Calibri"/>
        </w:rPr>
      </w:pPr>
      <w:r w:rsidRPr="00650C94">
        <w:rPr>
          <w:rFonts w:ascii="Calibri" w:hAnsi="Calibri" w:cs="Calibri"/>
        </w:rPr>
        <w:t>Employee voice—the ability for staff to express views, influence decisions, and contribute to improvements—has a well-established link to organisational performance. In a newly merged public sector setting, where cultural integration and leadership change present challenges, enabling strong employee voice can support both operational effectiveness and workforce stability.</w:t>
      </w:r>
    </w:p>
    <w:p w14:paraId="2FE70898" w14:textId="77777777" w:rsidR="00F97BEC" w:rsidRPr="00650C94" w:rsidRDefault="00F97BEC" w:rsidP="00F97BEC">
      <w:pPr>
        <w:rPr>
          <w:rFonts w:ascii="Calibri" w:hAnsi="Calibri" w:cs="Calibri"/>
        </w:rPr>
      </w:pPr>
      <w:r w:rsidRPr="00650C94">
        <w:rPr>
          <w:rFonts w:ascii="Calibri" w:hAnsi="Calibri" w:cs="Calibri"/>
        </w:rPr>
        <w:t>The CIPD (2023) defines employee voice as “the ability of employees to express their views, opinions and concerns.” This can be direct, such as through surveys or team meetings, or indirect, through trade unions and staff forums. When organisations actively listen and respond, the benefits go beyond morale—contributing to innovation, reduced conflict, and increased productivity (IPA, 2023).</w:t>
      </w:r>
    </w:p>
    <w:p w14:paraId="4D4182FD" w14:textId="77777777" w:rsidR="00F97BEC" w:rsidRPr="00650C94" w:rsidRDefault="00F97BEC" w:rsidP="00F97BEC">
      <w:pPr>
        <w:rPr>
          <w:rFonts w:ascii="Calibri" w:hAnsi="Calibri" w:cs="Calibri"/>
        </w:rPr>
      </w:pPr>
      <w:r w:rsidRPr="00650C94">
        <w:rPr>
          <w:rFonts w:ascii="Calibri" w:hAnsi="Calibri" w:cs="Calibri"/>
        </w:rPr>
        <w:t>In a public sector environment, where services are heavily dependent on employee discretion, the role of voice becomes even more critical. Engage for Success (2023) highlights employee voice as one of four key enablers of engagement, supporting discretionary effort and resilience—particularly important in periods of transition. If employees feel safe and empowered to suggest improvements or raise concerns, organisations can adapt more effectively to budget constraints, policy changes, or staffing challenges.</w:t>
      </w:r>
    </w:p>
    <w:p w14:paraId="654B0098" w14:textId="77777777" w:rsidR="00F97BEC" w:rsidRPr="00650C94" w:rsidRDefault="00F97BEC" w:rsidP="00F97BEC">
      <w:pPr>
        <w:rPr>
          <w:rFonts w:ascii="Calibri" w:hAnsi="Calibri" w:cs="Calibri"/>
        </w:rPr>
      </w:pPr>
      <w:r w:rsidRPr="00650C94">
        <w:rPr>
          <w:rFonts w:ascii="Calibri" w:hAnsi="Calibri" w:cs="Calibri"/>
        </w:rPr>
        <w:t>Voice also plays a legal and procedural role. Daniels (2022) explains that certain forms of employee voice—such as union consultation on redundancy or restructuring—are statutory rights, especially relevant in the public sector. Ensuring employees have credible, structured channels for input strengthens both compliance and trust.</w:t>
      </w:r>
    </w:p>
    <w:p w14:paraId="0962BB83" w14:textId="1CB62645" w:rsidR="00F97BEC" w:rsidRPr="00650C94" w:rsidRDefault="00F97BEC" w:rsidP="00F97BEC">
      <w:pPr>
        <w:rPr>
          <w:rFonts w:ascii="Calibri" w:hAnsi="Calibri" w:cs="Calibri"/>
        </w:rPr>
      </w:pPr>
      <w:r w:rsidRPr="00650C94">
        <w:rPr>
          <w:rFonts w:ascii="Calibri" w:hAnsi="Calibri" w:cs="Calibri"/>
        </w:rPr>
        <w:t>However, voice only supports performance if it is meaningfully received. Armstrong and Taylor (2023) caution</w:t>
      </w:r>
      <w:r>
        <w:rPr>
          <w:rFonts w:ascii="Calibri" w:hAnsi="Calibri" w:cs="Calibri"/>
        </w:rPr>
        <w:t>,</w:t>
      </w:r>
      <w:r w:rsidRPr="00650C94">
        <w:rPr>
          <w:rFonts w:ascii="Calibri" w:hAnsi="Calibri" w:cs="Calibri"/>
        </w:rPr>
        <w:t xml:space="preserve"> that asking for feedback without follow-up risks creating cynicism and disengagement. Holland and Allen (2020) reinforce this by noting that voice mechanisms must be embedded in organisational culture and supported by visible action to be effective.</w:t>
      </w:r>
    </w:p>
    <w:p w14:paraId="2BC04078" w14:textId="77777777" w:rsidR="00F97BEC" w:rsidRPr="00650C94" w:rsidRDefault="00F97BEC" w:rsidP="00F97BEC">
      <w:pPr>
        <w:rPr>
          <w:rFonts w:ascii="Calibri" w:hAnsi="Calibri" w:cs="Calibri"/>
        </w:rPr>
      </w:pPr>
      <w:r w:rsidRPr="00650C94">
        <w:rPr>
          <w:rFonts w:ascii="Calibri" w:hAnsi="Calibri" w:cs="Calibri"/>
        </w:rPr>
        <w:t>In the context of this newly merged organisation, where new leaders from the private sector may be unfamiliar with public sector expectations around consultation and engagement, getting this right is vital. Encouraging both formal and informal channels for voice, ensuring transparency, and demonstrating responsiveness will help bridge cultural differences and improve the employment relationship.</w:t>
      </w:r>
    </w:p>
    <w:p w14:paraId="0976180F" w14:textId="77777777" w:rsidR="00F97BEC" w:rsidRPr="00650C94" w:rsidRDefault="00F97BEC" w:rsidP="00F97BEC">
      <w:pPr>
        <w:rPr>
          <w:rFonts w:ascii="Calibri" w:hAnsi="Calibri" w:cs="Calibri"/>
        </w:rPr>
      </w:pPr>
      <w:r w:rsidRPr="00650C94">
        <w:rPr>
          <w:rFonts w:ascii="Calibri" w:hAnsi="Calibri" w:cs="Calibri"/>
        </w:rPr>
        <w:t>In summary, employee voice is not just a compliance exercise or wellbeing tool—it’s a strategic asset. When embedded in culture and backed by action, it can drive better decisions, enhance engagement, and contribute significantly to public service delivery.</w:t>
      </w:r>
    </w:p>
    <w:p w14:paraId="1285B079" w14:textId="77777777" w:rsidR="00F97BEC" w:rsidRPr="00650C94" w:rsidRDefault="00F97BEC" w:rsidP="00F97BEC">
      <w:pPr>
        <w:rPr>
          <w:rFonts w:ascii="Calibri" w:hAnsi="Calibri" w:cs="Calibri"/>
        </w:rPr>
      </w:pPr>
    </w:p>
    <w:p w14:paraId="33B8B9C9" w14:textId="77777777" w:rsidR="00C97985" w:rsidRDefault="00C97985" w:rsidP="00212DA7">
      <w:pPr>
        <w:rPr>
          <w:rFonts w:ascii="Calibri" w:hAnsi="Calibri" w:cs="Calibri"/>
          <w:sz w:val="22"/>
        </w:rPr>
      </w:pPr>
    </w:p>
    <w:p w14:paraId="5B6982ED" w14:textId="77777777" w:rsidR="00C97985" w:rsidRDefault="00C97985" w:rsidP="00212DA7">
      <w:pPr>
        <w:rPr>
          <w:rFonts w:ascii="Calibri" w:hAnsi="Calibri" w:cs="Calibri"/>
          <w:sz w:val="22"/>
        </w:rPr>
      </w:pPr>
    </w:p>
    <w:p w14:paraId="517BAE34" w14:textId="77777777" w:rsidR="00C97985" w:rsidRDefault="00C97985" w:rsidP="00212DA7">
      <w:pPr>
        <w:rPr>
          <w:rFonts w:ascii="Calibri" w:hAnsi="Calibri" w:cs="Calibri"/>
          <w:sz w:val="22"/>
        </w:rPr>
      </w:pPr>
    </w:p>
    <w:p w14:paraId="20F062CF" w14:textId="77777777" w:rsidR="00C97985" w:rsidRDefault="00C97985" w:rsidP="00212DA7">
      <w:pPr>
        <w:rPr>
          <w:rFonts w:ascii="Calibri" w:hAnsi="Calibri" w:cs="Calibri"/>
          <w:sz w:val="22"/>
        </w:rPr>
      </w:pPr>
    </w:p>
    <w:p w14:paraId="5B281DD4" w14:textId="10D6F136" w:rsidR="00EF2B31" w:rsidRDefault="0054288F" w:rsidP="00212DA7">
      <w:pPr>
        <w:rPr>
          <w:rFonts w:ascii="Calibri" w:hAnsi="Calibri" w:cs="Calibri"/>
          <w:sz w:val="22"/>
        </w:rPr>
      </w:pPr>
      <w:r>
        <w:rPr>
          <w:rFonts w:ascii="Calibri" w:hAnsi="Calibri" w:cs="Calibri"/>
          <w:sz w:val="22"/>
        </w:rPr>
        <w:lastRenderedPageBreak/>
        <w:t>AC 1.4</w:t>
      </w:r>
    </w:p>
    <w:p w14:paraId="1F749F65" w14:textId="77777777" w:rsidR="0054288F" w:rsidRDefault="0054288F" w:rsidP="0054288F">
      <w:pPr>
        <w:rPr>
          <w:rFonts w:ascii="Calibri" w:hAnsi="Calibri" w:cs="Calibri"/>
          <w:sz w:val="22"/>
        </w:rPr>
      </w:pPr>
      <w:r w:rsidRPr="0054288F">
        <w:rPr>
          <w:rFonts w:ascii="Calibri" w:hAnsi="Calibri" w:cs="Calibri"/>
          <w:sz w:val="22"/>
        </w:rPr>
        <w:t>The concept of "better working lives" is central to modern people practice and is deeply rooted in the principles of fairness, wellbeing, autonomy, and opportunity at work. It goes beyond basic employment rights, aiming to create work that supports not just organisational outcomes but also personal fulfilment and societal good.</w:t>
      </w:r>
    </w:p>
    <w:p w14:paraId="58139AF7" w14:textId="77777777" w:rsidR="0054288F" w:rsidRDefault="0054288F" w:rsidP="0054288F">
      <w:pPr>
        <w:rPr>
          <w:rFonts w:ascii="Calibri" w:hAnsi="Calibri" w:cs="Calibri"/>
          <w:sz w:val="22"/>
        </w:rPr>
      </w:pPr>
      <w:r w:rsidRPr="0054288F">
        <w:rPr>
          <w:rFonts w:ascii="Calibri" w:hAnsi="Calibri" w:cs="Calibri"/>
          <w:sz w:val="22"/>
        </w:rPr>
        <w:t xml:space="preserve">According to the CIPD’s </w:t>
      </w:r>
      <w:r w:rsidRPr="0054288F">
        <w:rPr>
          <w:rFonts w:ascii="Calibri" w:hAnsi="Calibri" w:cs="Calibri"/>
          <w:i/>
          <w:iCs/>
          <w:sz w:val="22"/>
        </w:rPr>
        <w:t>Good Work Index</w:t>
      </w:r>
      <w:r w:rsidRPr="0054288F">
        <w:rPr>
          <w:rFonts w:ascii="Calibri" w:hAnsi="Calibri" w:cs="Calibri"/>
          <w:sz w:val="22"/>
        </w:rPr>
        <w:t xml:space="preserve"> (2023), a better working life is one where people are “healthy, happy, and performing to their potential.” It includes several key dimensions: meaningful work, job security, fair pay, work-life balance, supportive management, opportunities for growth, and a voice in decision-making. Daniels (2022) supports this by highlighting that employment should support not just legal compliance but human dignity and workplace justice.</w:t>
      </w:r>
    </w:p>
    <w:p w14:paraId="032CD531" w14:textId="77777777" w:rsidR="0054288F" w:rsidRDefault="0054288F" w:rsidP="0054288F">
      <w:pPr>
        <w:rPr>
          <w:rFonts w:ascii="Calibri" w:hAnsi="Calibri" w:cs="Calibri"/>
          <w:sz w:val="22"/>
        </w:rPr>
      </w:pPr>
      <w:r w:rsidRPr="0054288F">
        <w:rPr>
          <w:rFonts w:ascii="Calibri" w:hAnsi="Calibri" w:cs="Calibri"/>
          <w:sz w:val="22"/>
        </w:rPr>
        <w:t>Designing better working lives requires a holistic approach that takes both job design and organisational culture into account. Armstrong (2020) argues that high-quality work begins with role clarity, autonomy, manageable workload, and alignment with personal values. Flexible working practices, participative leadership, and support for learning and development are all practical ways to achieve this. Holland and Allen (2020) add that employers should be mindful of both contractual and psychological aspects of work—respecting individual needs while delivering consistent policy frameworks.</w:t>
      </w:r>
    </w:p>
    <w:p w14:paraId="05B201E1" w14:textId="28F92CF1" w:rsidR="0054288F" w:rsidRPr="0054288F" w:rsidRDefault="0054288F" w:rsidP="0054288F">
      <w:pPr>
        <w:rPr>
          <w:rFonts w:ascii="Calibri" w:hAnsi="Calibri" w:cs="Calibri"/>
          <w:sz w:val="22"/>
        </w:rPr>
      </w:pPr>
      <w:r w:rsidRPr="0054288F">
        <w:rPr>
          <w:rFonts w:ascii="Calibri" w:hAnsi="Calibri" w:cs="Calibri"/>
          <w:sz w:val="22"/>
        </w:rPr>
        <w:t xml:space="preserve">Insights from the CIPD podcast </w:t>
      </w:r>
      <w:r w:rsidRPr="0054288F">
        <w:rPr>
          <w:rFonts w:ascii="Calibri" w:hAnsi="Calibri" w:cs="Calibri"/>
          <w:i/>
          <w:iCs/>
          <w:sz w:val="22"/>
        </w:rPr>
        <w:t>What’s Hampering Good Work?</w:t>
      </w:r>
      <w:r w:rsidRPr="0054288F">
        <w:rPr>
          <w:rFonts w:ascii="Calibri" w:hAnsi="Calibri" w:cs="Calibri"/>
          <w:sz w:val="22"/>
        </w:rPr>
        <w:t xml:space="preserve"> (2023) highlight the gap between intention and practice. Many employers talk about wellbeing and engagement but fall short when job demands are high, voice is limited, or recognition is lacking. In the context of a public sector merger, where cultural integration and staff morale are likely to be fragile, designing better working lives becomes a strategic necessity. Giving employees a voice in shaping post-merger roles, offering support for emotional wellbeing, and creating meaningful development pathways are all part of the solution.</w:t>
      </w:r>
    </w:p>
    <w:p w14:paraId="6FD1564E" w14:textId="77777777" w:rsidR="0054288F" w:rsidRDefault="0054288F" w:rsidP="0054288F">
      <w:pPr>
        <w:rPr>
          <w:rFonts w:ascii="Calibri" w:hAnsi="Calibri" w:cs="Calibri"/>
          <w:sz w:val="22"/>
        </w:rPr>
      </w:pPr>
      <w:r w:rsidRPr="0054288F">
        <w:rPr>
          <w:rFonts w:ascii="Calibri" w:hAnsi="Calibri" w:cs="Calibri"/>
          <w:sz w:val="22"/>
        </w:rPr>
        <w:t xml:space="preserve">The </w:t>
      </w:r>
      <w:r w:rsidRPr="0054288F">
        <w:rPr>
          <w:rFonts w:ascii="Calibri" w:hAnsi="Calibri" w:cs="Calibri"/>
          <w:i/>
          <w:iCs/>
          <w:sz w:val="22"/>
        </w:rPr>
        <w:t>CIPD Good Work Index</w:t>
      </w:r>
      <w:r w:rsidRPr="0054288F">
        <w:rPr>
          <w:rFonts w:ascii="Calibri" w:hAnsi="Calibri" w:cs="Calibri"/>
          <w:sz w:val="22"/>
        </w:rPr>
        <w:t xml:space="preserve"> also stresses that job quality is not just a private sector concern. Public sector roles—often mission-driven and people-facing—must also meet the same standards for fairness and sustainability. Ensuring that merged departments retain clarity of purpose, invest in good management, and honour psychological contracts will be key to long-term success.</w:t>
      </w:r>
    </w:p>
    <w:p w14:paraId="4CE8EFA9" w14:textId="77777777" w:rsidR="0054288F" w:rsidRPr="0054288F" w:rsidRDefault="0054288F" w:rsidP="0054288F">
      <w:pPr>
        <w:rPr>
          <w:rFonts w:ascii="Calibri" w:hAnsi="Calibri" w:cs="Calibri"/>
          <w:sz w:val="22"/>
        </w:rPr>
      </w:pPr>
      <w:r w:rsidRPr="0054288F">
        <w:rPr>
          <w:rFonts w:ascii="Calibri" w:hAnsi="Calibri" w:cs="Calibri"/>
          <w:sz w:val="22"/>
        </w:rPr>
        <w:t>In sum, better working lives are built on principles of dignity, fairness, and meaningful engagement. Designing them involves aligning HR practices, job design, and leadership behaviours to support both people and performance. In your organisation’s current context, doing so will help retain talent, rebuild trust, and deliver public value more effectively.</w:t>
      </w:r>
    </w:p>
    <w:p w14:paraId="157A7A8D" w14:textId="77777777" w:rsidR="00EF2B31" w:rsidRDefault="00EF2B31" w:rsidP="00212DA7">
      <w:pPr>
        <w:rPr>
          <w:rFonts w:ascii="Calibri" w:hAnsi="Calibri" w:cs="Calibri"/>
          <w:sz w:val="22"/>
        </w:rPr>
      </w:pPr>
    </w:p>
    <w:p w14:paraId="4B2292D4" w14:textId="6CE1367C" w:rsidR="00EF2B31" w:rsidRDefault="00A30841" w:rsidP="00212DA7">
      <w:pPr>
        <w:rPr>
          <w:rFonts w:ascii="Calibri" w:hAnsi="Calibri" w:cs="Calibri"/>
          <w:sz w:val="22"/>
        </w:rPr>
      </w:pPr>
      <w:r>
        <w:rPr>
          <w:rFonts w:ascii="Calibri" w:hAnsi="Calibri" w:cs="Calibri"/>
          <w:sz w:val="22"/>
        </w:rPr>
        <w:t xml:space="preserve">AC </w:t>
      </w:r>
      <w:r w:rsidR="00764CC9">
        <w:rPr>
          <w:rFonts w:ascii="Calibri" w:hAnsi="Calibri" w:cs="Calibri"/>
          <w:sz w:val="22"/>
        </w:rPr>
        <w:t>2.1</w:t>
      </w:r>
    </w:p>
    <w:p w14:paraId="70B40034" w14:textId="77777777" w:rsidR="00CA0DFE" w:rsidRPr="004E10C8" w:rsidRDefault="00CA0DFE" w:rsidP="00CA0DFE">
      <w:pPr>
        <w:rPr>
          <w:rFonts w:ascii="Calibri" w:hAnsi="Calibri" w:cs="Calibri"/>
        </w:rPr>
      </w:pPr>
      <w:r w:rsidRPr="004E10C8">
        <w:rPr>
          <w:rFonts w:ascii="Calibri" w:hAnsi="Calibri" w:cs="Calibri"/>
        </w:rPr>
        <w:t>In the context of our recent public sector merger, it’s important to clarify the difference between organisational conflict and employee misbehaviour. This distinction is particularly important for incoming leaders from the private sector, who may be less familiar with the formal employee relations frameworks typical of public bodies (CIPD, 2023a).</w:t>
      </w:r>
    </w:p>
    <w:p w14:paraId="69142977" w14:textId="673E5EAA" w:rsidR="00CA0DFE" w:rsidRPr="004E10C8" w:rsidRDefault="00CA0DFE" w:rsidP="00CA0DFE">
      <w:pPr>
        <w:rPr>
          <w:rFonts w:ascii="Calibri" w:hAnsi="Calibri" w:cs="Calibri"/>
        </w:rPr>
      </w:pPr>
      <w:r w:rsidRPr="004E10C8">
        <w:rPr>
          <w:rFonts w:ascii="Calibri" w:hAnsi="Calibri" w:cs="Calibri"/>
        </w:rPr>
        <w:t>Organisational conflict</w:t>
      </w:r>
      <w:r w:rsidR="00F97BEC">
        <w:rPr>
          <w:rFonts w:ascii="Calibri" w:hAnsi="Calibri" w:cs="Calibri"/>
        </w:rPr>
        <w:t xml:space="preserve"> </w:t>
      </w:r>
      <w:proofErr w:type="gramStart"/>
      <w:r w:rsidR="00F97BEC">
        <w:rPr>
          <w:rFonts w:ascii="Calibri" w:hAnsi="Calibri" w:cs="Calibri"/>
        </w:rPr>
        <w:t xml:space="preserve">- </w:t>
      </w:r>
      <w:r w:rsidRPr="004E10C8">
        <w:rPr>
          <w:rFonts w:ascii="Calibri" w:hAnsi="Calibri" w:cs="Calibri"/>
        </w:rPr>
        <w:t xml:space="preserve"> refers</w:t>
      </w:r>
      <w:proofErr w:type="gramEnd"/>
      <w:r w:rsidRPr="004E10C8">
        <w:rPr>
          <w:rFonts w:ascii="Calibri" w:hAnsi="Calibri" w:cs="Calibri"/>
        </w:rPr>
        <w:t xml:space="preserve"> to disagreements between individuals or groups arising from differing needs, perspectives, or values (Armstrong and Taylor, 2023). It is not inherently negative; when handled constructively, it can lead to innovation, improved collaboration, and stronger team cohesion. Common causes include unclear roles, communication breakdowns, and resistance to change — all of which are likely in the wake of structural mergers (CIPD, 2023b).</w:t>
      </w:r>
    </w:p>
    <w:p w14:paraId="45879A97" w14:textId="77777777" w:rsidR="00CA0DFE" w:rsidRPr="004E10C8" w:rsidRDefault="00CA0DFE" w:rsidP="00CA0DFE">
      <w:pPr>
        <w:rPr>
          <w:rFonts w:ascii="Calibri" w:hAnsi="Calibri" w:cs="Calibri"/>
        </w:rPr>
      </w:pPr>
      <w:r w:rsidRPr="004E10C8">
        <w:rPr>
          <w:rFonts w:ascii="Calibri" w:hAnsi="Calibri" w:cs="Calibri"/>
        </w:rPr>
        <w:t>Unresolved conflict is a leading cause of workplace stress and absence, particularly in unionised public sector environments (CIPD, 2020). ACAS (2021) advocates early, informal resolution strategies, including open conversations, facilitated meetings, and mediation. As highlighted in the CIPD’s “Shifting Perceptions of Conflict” podcast (CIPD, 2023c), reframing conflict as an opportunity for growth can reduce escalation and build resilience.</w:t>
      </w:r>
    </w:p>
    <w:p w14:paraId="52F5157E" w14:textId="0C465CE3" w:rsidR="00CA0DFE" w:rsidRPr="004E10C8" w:rsidRDefault="00CA0DFE" w:rsidP="00CA0DFE">
      <w:pPr>
        <w:rPr>
          <w:rFonts w:ascii="Calibri" w:hAnsi="Calibri" w:cs="Calibri"/>
        </w:rPr>
      </w:pPr>
      <w:r w:rsidRPr="004E10C8">
        <w:rPr>
          <w:rFonts w:ascii="Calibri" w:hAnsi="Calibri" w:cs="Calibri"/>
        </w:rPr>
        <w:t>Misbehaviour</w:t>
      </w:r>
      <w:r w:rsidR="003073B1">
        <w:rPr>
          <w:rFonts w:ascii="Calibri" w:hAnsi="Calibri" w:cs="Calibri"/>
        </w:rPr>
        <w:t xml:space="preserve"> - </w:t>
      </w:r>
      <w:r w:rsidRPr="004E10C8">
        <w:rPr>
          <w:rFonts w:ascii="Calibri" w:hAnsi="Calibri" w:cs="Calibri"/>
        </w:rPr>
        <w:t>y contrast, employee misbehaviour involves intentional breaches of organisational rules or expectations. This includes persistent lateness, insubordination, bullying, or deliberate disruption (Daniels, 2022). Unlike conflict, which may be based on misunderstandings, misbehaviour typically requires a formal disciplinary response under procedures guided by the ACAS Code of Practice on Disciplinary and Grievance Procedures (ACAS, 2022).</w:t>
      </w:r>
    </w:p>
    <w:p w14:paraId="1F467198" w14:textId="77777777" w:rsidR="00CA0DFE" w:rsidRPr="004E10C8" w:rsidRDefault="00CA0DFE" w:rsidP="00CA0DFE">
      <w:pPr>
        <w:rPr>
          <w:rFonts w:ascii="Calibri" w:hAnsi="Calibri" w:cs="Calibri"/>
        </w:rPr>
      </w:pPr>
      <w:r w:rsidRPr="004E10C8">
        <w:rPr>
          <w:rFonts w:ascii="Calibri" w:hAnsi="Calibri" w:cs="Calibri"/>
        </w:rPr>
        <w:lastRenderedPageBreak/>
        <w:t>For example, a colleague who openly refuses to cooperate with changes introduced post-merger, despite support and guidance, may be displaying wilful misconduct. Misbehaviour may also undermine the credibility of newly integrated teams if not addressed consistently (CIPD, 2023d).</w:t>
      </w:r>
    </w:p>
    <w:p w14:paraId="1D99FE88" w14:textId="49A9E415" w:rsidR="00CA0DFE" w:rsidRPr="004E10C8" w:rsidRDefault="00CA0DFE" w:rsidP="00CA0DFE">
      <w:pPr>
        <w:rPr>
          <w:rFonts w:ascii="Calibri" w:hAnsi="Calibri" w:cs="Calibri"/>
        </w:rPr>
      </w:pPr>
      <w:r w:rsidRPr="004E10C8">
        <w:rPr>
          <w:rFonts w:ascii="Calibri" w:hAnsi="Calibri" w:cs="Calibri"/>
        </w:rPr>
        <w:t xml:space="preserve">Why </w:t>
      </w:r>
      <w:r w:rsidR="003073B1">
        <w:rPr>
          <w:rFonts w:ascii="Calibri" w:hAnsi="Calibri" w:cs="Calibri"/>
        </w:rPr>
        <w:t xml:space="preserve">does </w:t>
      </w:r>
      <w:r w:rsidRPr="004E10C8">
        <w:rPr>
          <w:rFonts w:ascii="Calibri" w:hAnsi="Calibri" w:cs="Calibri"/>
        </w:rPr>
        <w:t xml:space="preserve">the </w:t>
      </w:r>
      <w:r w:rsidR="003073B1">
        <w:rPr>
          <w:rFonts w:ascii="Calibri" w:hAnsi="Calibri" w:cs="Calibri"/>
        </w:rPr>
        <w:t>d</w:t>
      </w:r>
      <w:r w:rsidRPr="004E10C8">
        <w:rPr>
          <w:rFonts w:ascii="Calibri" w:hAnsi="Calibri" w:cs="Calibri"/>
        </w:rPr>
        <w:t xml:space="preserve">istinction </w:t>
      </w:r>
      <w:r w:rsidR="003073B1">
        <w:rPr>
          <w:rFonts w:ascii="Calibri" w:hAnsi="Calibri" w:cs="Calibri"/>
        </w:rPr>
        <w:t>m</w:t>
      </w:r>
      <w:r w:rsidRPr="004E10C8">
        <w:rPr>
          <w:rFonts w:ascii="Calibri" w:hAnsi="Calibri" w:cs="Calibri"/>
        </w:rPr>
        <w:t>atter</w:t>
      </w:r>
      <w:r w:rsidR="003073B1">
        <w:rPr>
          <w:rFonts w:ascii="Calibri" w:hAnsi="Calibri" w:cs="Calibri"/>
        </w:rPr>
        <w:t xml:space="preserve">? </w:t>
      </w:r>
      <w:r w:rsidRPr="004E10C8">
        <w:rPr>
          <w:rFonts w:ascii="Calibri" w:hAnsi="Calibri" w:cs="Calibri"/>
        </w:rPr>
        <w:t>In our merged organisation, conflating conflict with misbehaviour can erode trust, prompt formal grievances, and expose us to legal risk. Conflict should be resolved through dialogue and support, while misbehaviour may require escalation. Clear differentiation also helps maintain procedural fairness and uphold the values expected in public service settings (Daniels, 2022; Armstrong and Taylor, 2023).</w:t>
      </w:r>
    </w:p>
    <w:p w14:paraId="37C66B84" w14:textId="77777777" w:rsidR="00CA0DFE" w:rsidRPr="004E10C8" w:rsidRDefault="00CA0DFE" w:rsidP="00CA0DFE">
      <w:pPr>
        <w:rPr>
          <w:rFonts w:ascii="Calibri" w:hAnsi="Calibri" w:cs="Calibri"/>
        </w:rPr>
      </w:pPr>
      <w:r w:rsidRPr="004E10C8">
        <w:rPr>
          <w:rFonts w:ascii="Calibri" w:hAnsi="Calibri" w:cs="Calibri"/>
        </w:rPr>
        <w:t>As noted by the Resolution Foundation (2022), poor conflict handling and inconsistent application of discipline significantly affect engagement and retention — areas where the public sector is already vulnerable.</w:t>
      </w:r>
    </w:p>
    <w:p w14:paraId="0C5284E6" w14:textId="77777777" w:rsidR="00EF2B31" w:rsidRDefault="00EF2B31" w:rsidP="00212DA7">
      <w:pPr>
        <w:rPr>
          <w:rFonts w:ascii="Calibri" w:hAnsi="Calibri" w:cs="Calibri"/>
          <w:sz w:val="22"/>
        </w:rPr>
      </w:pPr>
    </w:p>
    <w:p w14:paraId="0E3AF9D1" w14:textId="7A8EEDF1" w:rsidR="00EF2B31" w:rsidRDefault="00BD78EE" w:rsidP="00212DA7">
      <w:pPr>
        <w:rPr>
          <w:rFonts w:ascii="Calibri" w:hAnsi="Calibri" w:cs="Calibri"/>
          <w:sz w:val="22"/>
        </w:rPr>
      </w:pPr>
      <w:r>
        <w:rPr>
          <w:rFonts w:ascii="Calibri" w:hAnsi="Calibri" w:cs="Calibri"/>
          <w:sz w:val="22"/>
        </w:rPr>
        <w:t xml:space="preserve">AC </w:t>
      </w:r>
      <w:r w:rsidR="00764CC9">
        <w:rPr>
          <w:rFonts w:ascii="Calibri" w:hAnsi="Calibri" w:cs="Calibri"/>
          <w:sz w:val="22"/>
        </w:rPr>
        <w:t>2.2</w:t>
      </w:r>
    </w:p>
    <w:p w14:paraId="1DDB1CA4" w14:textId="77777777" w:rsidR="00BD78EE" w:rsidRPr="004E10C8" w:rsidRDefault="00BD78EE" w:rsidP="00BD78EE">
      <w:pPr>
        <w:rPr>
          <w:rFonts w:ascii="Calibri" w:hAnsi="Calibri" w:cs="Calibri"/>
        </w:rPr>
      </w:pPr>
      <w:r w:rsidRPr="004E10C8">
        <w:rPr>
          <w:rFonts w:ascii="Calibri" w:hAnsi="Calibri" w:cs="Calibri"/>
        </w:rPr>
        <w:t>In the wake of our recent public sector merger, it's essential for the new leadership team—many of whom have private sector experience—to understand the changing landscape of workplace conflict and industrial action, particularly within the public sector where unionisation and employee representation are more deeply embedded (CIPD, 2023a).</w:t>
      </w:r>
    </w:p>
    <w:p w14:paraId="48BABB5A" w14:textId="77777777" w:rsidR="00C97985" w:rsidRDefault="00C97985" w:rsidP="00BD78EE">
      <w:pPr>
        <w:rPr>
          <w:rFonts w:ascii="Calibri" w:hAnsi="Calibri" w:cs="Calibri"/>
        </w:rPr>
      </w:pPr>
    </w:p>
    <w:p w14:paraId="79E68A6E" w14:textId="47D16FCC" w:rsidR="00BD78EE" w:rsidRPr="004E10C8" w:rsidRDefault="00BD78EE" w:rsidP="00BD78EE">
      <w:pPr>
        <w:rPr>
          <w:rFonts w:ascii="Calibri" w:hAnsi="Calibri" w:cs="Calibri"/>
        </w:rPr>
      </w:pPr>
      <w:r w:rsidRPr="004E10C8">
        <w:rPr>
          <w:rFonts w:ascii="Calibri" w:hAnsi="Calibri" w:cs="Calibri"/>
        </w:rPr>
        <w:t>Emerging Trends in Workplace Conflict</w:t>
      </w:r>
    </w:p>
    <w:p w14:paraId="1C598969" w14:textId="77777777" w:rsidR="00BD78EE" w:rsidRPr="004E10C8" w:rsidRDefault="00BD78EE" w:rsidP="00BD78EE">
      <w:pPr>
        <w:rPr>
          <w:rFonts w:ascii="Calibri" w:hAnsi="Calibri" w:cs="Calibri"/>
        </w:rPr>
      </w:pPr>
      <w:r w:rsidRPr="004E10C8">
        <w:rPr>
          <w:rFonts w:ascii="Calibri" w:hAnsi="Calibri" w:cs="Calibri"/>
        </w:rPr>
        <w:t>Traditional interpersonal conflict still exists, such as disputes between colleagues or with managers. However, recent years have seen a rise in more complex and systemic forms of conflict. According to CIPD (2023b) and ACAS (2022), trends include:</w:t>
      </w:r>
    </w:p>
    <w:p w14:paraId="31F946E7" w14:textId="77777777" w:rsidR="00BD78EE" w:rsidRPr="004E10C8" w:rsidRDefault="00BD78EE" w:rsidP="00BD78EE">
      <w:pPr>
        <w:numPr>
          <w:ilvl w:val="0"/>
          <w:numId w:val="19"/>
        </w:numPr>
        <w:rPr>
          <w:rFonts w:ascii="Calibri" w:hAnsi="Calibri" w:cs="Calibri"/>
        </w:rPr>
      </w:pPr>
      <w:r w:rsidRPr="004E10C8">
        <w:rPr>
          <w:rFonts w:ascii="Calibri" w:hAnsi="Calibri" w:cs="Calibri"/>
        </w:rPr>
        <w:t>Conflict driven by organisational change, especially post-merger or restructuring scenarios where employees may feel uncertain, unheard, or at risk. In our case, merging teams with different work cultures and job security expectations may intensify this.</w:t>
      </w:r>
    </w:p>
    <w:p w14:paraId="4321E9E1" w14:textId="77777777" w:rsidR="00BD78EE" w:rsidRPr="004E10C8" w:rsidRDefault="00BD78EE" w:rsidP="00BD78EE">
      <w:pPr>
        <w:numPr>
          <w:ilvl w:val="0"/>
          <w:numId w:val="19"/>
        </w:numPr>
        <w:rPr>
          <w:rFonts w:ascii="Calibri" w:hAnsi="Calibri" w:cs="Calibri"/>
        </w:rPr>
      </w:pPr>
      <w:r w:rsidRPr="004E10C8">
        <w:rPr>
          <w:rFonts w:ascii="Calibri" w:hAnsi="Calibri" w:cs="Calibri"/>
        </w:rPr>
        <w:t>Mental health-related conflict, with growing awareness of stress and burnout contributing to disputes over workload, boundaries, and management styles (Daniels, 2022).</w:t>
      </w:r>
    </w:p>
    <w:p w14:paraId="07162E0A" w14:textId="77777777" w:rsidR="00BD78EE" w:rsidRPr="004E10C8" w:rsidRDefault="00BD78EE" w:rsidP="00BD78EE">
      <w:pPr>
        <w:numPr>
          <w:ilvl w:val="0"/>
          <w:numId w:val="19"/>
        </w:numPr>
        <w:rPr>
          <w:rFonts w:ascii="Calibri" w:hAnsi="Calibri" w:cs="Calibri"/>
        </w:rPr>
      </w:pPr>
      <w:r w:rsidRPr="004E10C8">
        <w:rPr>
          <w:rFonts w:ascii="Calibri" w:hAnsi="Calibri" w:cs="Calibri"/>
        </w:rPr>
        <w:t>Values-based conflict, where employees challenge perceived unfairness, discrimination, or lack of transparency—particularly relevant in public service roles driven by ethical standards.</w:t>
      </w:r>
    </w:p>
    <w:p w14:paraId="78F0EC2D" w14:textId="77777777" w:rsidR="00BD78EE" w:rsidRPr="004E10C8" w:rsidRDefault="00BD78EE" w:rsidP="00BD78EE">
      <w:pPr>
        <w:rPr>
          <w:rFonts w:ascii="Calibri" w:hAnsi="Calibri" w:cs="Calibri"/>
        </w:rPr>
      </w:pPr>
      <w:r w:rsidRPr="004E10C8">
        <w:rPr>
          <w:rFonts w:ascii="Calibri" w:hAnsi="Calibri" w:cs="Calibri"/>
        </w:rPr>
        <w:t>Such conflict may not always be formally raised through grievance procedures but can manifest through disengagement, informal complaints, or rising absence rates.</w:t>
      </w:r>
    </w:p>
    <w:p w14:paraId="29EB6D6B" w14:textId="77777777" w:rsidR="00C97985" w:rsidRDefault="00C97985" w:rsidP="00BD78EE">
      <w:pPr>
        <w:rPr>
          <w:rFonts w:ascii="Calibri" w:hAnsi="Calibri" w:cs="Calibri"/>
        </w:rPr>
      </w:pPr>
    </w:p>
    <w:p w14:paraId="4DA1838A" w14:textId="334CF1F7" w:rsidR="00BD78EE" w:rsidRPr="004E10C8" w:rsidRDefault="00BD78EE" w:rsidP="00BD78EE">
      <w:pPr>
        <w:rPr>
          <w:rFonts w:ascii="Calibri" w:hAnsi="Calibri" w:cs="Calibri"/>
        </w:rPr>
      </w:pPr>
      <w:r w:rsidRPr="004E10C8">
        <w:rPr>
          <w:rFonts w:ascii="Calibri" w:hAnsi="Calibri" w:cs="Calibri"/>
        </w:rPr>
        <w:t>Industrial Sanctions and Trends</w:t>
      </w:r>
    </w:p>
    <w:p w14:paraId="48403573" w14:textId="77777777" w:rsidR="00BD78EE" w:rsidRPr="004E10C8" w:rsidRDefault="00BD78EE" w:rsidP="00BD78EE">
      <w:pPr>
        <w:rPr>
          <w:rFonts w:ascii="Calibri" w:hAnsi="Calibri" w:cs="Calibri"/>
        </w:rPr>
      </w:pPr>
      <w:r w:rsidRPr="004E10C8">
        <w:rPr>
          <w:rFonts w:ascii="Calibri" w:hAnsi="Calibri" w:cs="Calibri"/>
        </w:rPr>
        <w:t>In parallel, industrial action and sanctions are evolving. The public sector has seen a significant upt</w:t>
      </w:r>
      <w:r>
        <w:rPr>
          <w:rFonts w:ascii="Calibri" w:hAnsi="Calibri" w:cs="Calibri"/>
        </w:rPr>
        <w:t>ake</w:t>
      </w:r>
      <w:r w:rsidRPr="004E10C8">
        <w:rPr>
          <w:rFonts w:ascii="Calibri" w:hAnsi="Calibri" w:cs="Calibri"/>
        </w:rPr>
        <w:t xml:space="preserve"> in union activity in recent years, partly driven by pay disputes, pension reform, and working conditions—exacerbated by inflation and underfunding.</w:t>
      </w:r>
    </w:p>
    <w:p w14:paraId="624F6154" w14:textId="77777777" w:rsidR="00BD78EE" w:rsidRPr="004E10C8" w:rsidRDefault="00BD78EE" w:rsidP="00BD78EE">
      <w:pPr>
        <w:rPr>
          <w:rFonts w:ascii="Calibri" w:hAnsi="Calibri" w:cs="Calibri"/>
        </w:rPr>
      </w:pPr>
      <w:r w:rsidRPr="004E10C8">
        <w:rPr>
          <w:rFonts w:ascii="Calibri" w:hAnsi="Calibri" w:cs="Calibri"/>
        </w:rPr>
        <w:t>Key developments include:</w:t>
      </w:r>
    </w:p>
    <w:p w14:paraId="1A55CA94" w14:textId="77777777" w:rsidR="00BD78EE" w:rsidRPr="004E10C8" w:rsidRDefault="00BD78EE" w:rsidP="00BD78EE">
      <w:pPr>
        <w:numPr>
          <w:ilvl w:val="0"/>
          <w:numId w:val="20"/>
        </w:numPr>
        <w:rPr>
          <w:rFonts w:ascii="Calibri" w:hAnsi="Calibri" w:cs="Calibri"/>
        </w:rPr>
      </w:pPr>
      <w:r w:rsidRPr="004E10C8">
        <w:rPr>
          <w:rFonts w:ascii="Calibri" w:hAnsi="Calibri" w:cs="Calibri"/>
        </w:rPr>
        <w:t>Increased strike action, particularly across healthcare, education, and local government, with the NHS notably impacted. For example, the Royal College of Nursing led its first-ever strike in 2022, signalling a shift in tone and public tolerance for industrial unrest (Resolution Foundation, 2022).</w:t>
      </w:r>
    </w:p>
    <w:p w14:paraId="68495B4B" w14:textId="77777777" w:rsidR="00BD78EE" w:rsidRPr="004E10C8" w:rsidRDefault="00BD78EE" w:rsidP="00BD78EE">
      <w:pPr>
        <w:numPr>
          <w:ilvl w:val="0"/>
          <w:numId w:val="20"/>
        </w:numPr>
        <w:rPr>
          <w:rFonts w:ascii="Calibri" w:hAnsi="Calibri" w:cs="Calibri"/>
        </w:rPr>
      </w:pPr>
      <w:r w:rsidRPr="004E10C8">
        <w:rPr>
          <w:rFonts w:ascii="Calibri" w:hAnsi="Calibri" w:cs="Calibri"/>
        </w:rPr>
        <w:t>Shorter, targeted walkouts, often designed to maximise disruption with minimal time away—e.g. strikes during peak patient service periods or by specific professional groups like radiographers or junior doctors.</w:t>
      </w:r>
    </w:p>
    <w:p w14:paraId="614029AE" w14:textId="77777777" w:rsidR="00BD78EE" w:rsidRPr="004E10C8" w:rsidRDefault="00BD78EE" w:rsidP="00BD78EE">
      <w:pPr>
        <w:numPr>
          <w:ilvl w:val="0"/>
          <w:numId w:val="20"/>
        </w:numPr>
        <w:rPr>
          <w:rFonts w:ascii="Calibri" w:hAnsi="Calibri" w:cs="Calibri"/>
        </w:rPr>
      </w:pPr>
      <w:r w:rsidRPr="004E10C8">
        <w:rPr>
          <w:rFonts w:ascii="Calibri" w:hAnsi="Calibri" w:cs="Calibri"/>
        </w:rPr>
        <w:t>Symbolic or partial action, such as working-to-rule or refusal to complete non-contractual duties, are common where full strikes are not legally or practically viable.</w:t>
      </w:r>
    </w:p>
    <w:p w14:paraId="758BE574" w14:textId="77777777" w:rsidR="00BD78EE" w:rsidRPr="004E10C8" w:rsidRDefault="00BD78EE" w:rsidP="00BD78EE">
      <w:pPr>
        <w:rPr>
          <w:rFonts w:ascii="Calibri" w:hAnsi="Calibri" w:cs="Calibri"/>
        </w:rPr>
      </w:pPr>
      <w:r w:rsidRPr="004E10C8">
        <w:rPr>
          <w:rFonts w:ascii="Calibri" w:hAnsi="Calibri" w:cs="Calibri"/>
        </w:rPr>
        <w:t>According to Armstrong and Taylor (2023), many industrial sanctions now reflect frustration not only with pay, but also with perceived lack of voice and fair treatment—issues that public sector mergers can intensify if not managed consultatively.</w:t>
      </w:r>
    </w:p>
    <w:p w14:paraId="4F600FDA" w14:textId="77777777" w:rsidR="00C97985" w:rsidRDefault="00C97985" w:rsidP="00BD78EE">
      <w:pPr>
        <w:rPr>
          <w:rFonts w:ascii="Calibri" w:hAnsi="Calibri" w:cs="Calibri"/>
        </w:rPr>
      </w:pPr>
    </w:p>
    <w:p w14:paraId="12EE8CE7" w14:textId="337CA203" w:rsidR="00BD78EE" w:rsidRPr="004E10C8" w:rsidRDefault="00BD78EE" w:rsidP="00BD78EE">
      <w:pPr>
        <w:rPr>
          <w:rFonts w:ascii="Calibri" w:hAnsi="Calibri" w:cs="Calibri"/>
        </w:rPr>
      </w:pPr>
      <w:r w:rsidRPr="004E10C8">
        <w:rPr>
          <w:rFonts w:ascii="Calibri" w:hAnsi="Calibri" w:cs="Calibri"/>
        </w:rPr>
        <w:lastRenderedPageBreak/>
        <w:t>Implications for Our Organisation</w:t>
      </w:r>
    </w:p>
    <w:p w14:paraId="64A033D6" w14:textId="77777777" w:rsidR="00BD78EE" w:rsidRPr="004E10C8" w:rsidRDefault="00BD78EE" w:rsidP="00BD78EE">
      <w:pPr>
        <w:rPr>
          <w:rFonts w:ascii="Calibri" w:hAnsi="Calibri" w:cs="Calibri"/>
        </w:rPr>
      </w:pPr>
      <w:r w:rsidRPr="004E10C8">
        <w:rPr>
          <w:rFonts w:ascii="Calibri" w:hAnsi="Calibri" w:cs="Calibri"/>
        </w:rPr>
        <w:t>Our post-merger context presents risk if new leaders underestimate the role of formal representation or fail to engage meaningfully with staff concerns. Without proactive involvement strategies and genuine consultation, we risk both conflict escalation and formal industrial responses.</w:t>
      </w:r>
    </w:p>
    <w:p w14:paraId="70F1823D" w14:textId="77777777" w:rsidR="00BD78EE" w:rsidRPr="004E10C8" w:rsidRDefault="00BD78EE" w:rsidP="00BD78EE">
      <w:pPr>
        <w:rPr>
          <w:rFonts w:ascii="Calibri" w:hAnsi="Calibri" w:cs="Calibri"/>
        </w:rPr>
      </w:pPr>
      <w:r w:rsidRPr="004E10C8">
        <w:rPr>
          <w:rFonts w:ascii="Calibri" w:hAnsi="Calibri" w:cs="Calibri"/>
        </w:rPr>
        <w:t>In a unionised public sector environment, resolving conflict must go beyond policy adherence. As CIPD (2023a) and ACAS (2022) stress, strong communication, trust-building, and early dialogue are essential to preventing disputes from escalating into industrial action.</w:t>
      </w:r>
    </w:p>
    <w:p w14:paraId="440AC5DB" w14:textId="77777777" w:rsidR="00BD78EE" w:rsidRDefault="00BD78EE" w:rsidP="00212DA7">
      <w:pPr>
        <w:rPr>
          <w:rFonts w:ascii="Calibri" w:hAnsi="Calibri" w:cs="Calibri"/>
          <w:sz w:val="22"/>
        </w:rPr>
      </w:pPr>
    </w:p>
    <w:p w14:paraId="00C0EA2C" w14:textId="32E75075" w:rsidR="00EF2B31" w:rsidRDefault="00764CC9" w:rsidP="00212DA7">
      <w:pPr>
        <w:rPr>
          <w:rFonts w:ascii="Calibri" w:hAnsi="Calibri" w:cs="Calibri"/>
          <w:sz w:val="22"/>
        </w:rPr>
      </w:pPr>
      <w:r>
        <w:rPr>
          <w:rFonts w:ascii="Calibri" w:hAnsi="Calibri" w:cs="Calibri"/>
          <w:sz w:val="22"/>
        </w:rPr>
        <w:t>AC 2.3</w:t>
      </w:r>
    </w:p>
    <w:p w14:paraId="1E0F0FC8" w14:textId="77777777" w:rsidR="0096500F" w:rsidRPr="0019523E" w:rsidRDefault="0096500F" w:rsidP="0096500F">
      <w:pPr>
        <w:rPr>
          <w:rFonts w:ascii="Calibri" w:hAnsi="Calibri" w:cs="Calibri"/>
        </w:rPr>
      </w:pPr>
      <w:r w:rsidRPr="0019523E">
        <w:rPr>
          <w:rFonts w:ascii="Calibri" w:hAnsi="Calibri" w:cs="Calibri"/>
        </w:rPr>
        <w:t>Distinguishing Between Third-Party Conciliation, Mediation and Arbitration</w:t>
      </w:r>
    </w:p>
    <w:p w14:paraId="3BCBC150" w14:textId="6B529D92" w:rsidR="0096500F" w:rsidRPr="0019523E" w:rsidRDefault="0096500F" w:rsidP="0096500F">
      <w:pPr>
        <w:rPr>
          <w:rFonts w:ascii="Calibri" w:hAnsi="Calibri" w:cs="Calibri"/>
        </w:rPr>
      </w:pPr>
      <w:r w:rsidRPr="0019523E">
        <w:rPr>
          <w:rFonts w:ascii="Calibri" w:hAnsi="Calibri" w:cs="Calibri"/>
        </w:rPr>
        <w:t>In our newly merged public sector organisation, it’s essential that incoming managers understand how formal conflict resolution methods differ. In a unionised, service-driven environment like the NHS, third-party interventions such as mediation, conciliation, and arbitration are often vital for maintaining workplace harmony and legal compliance (CIPD, 2023a).</w:t>
      </w:r>
    </w:p>
    <w:p w14:paraId="12C3E79E" w14:textId="77777777" w:rsidR="0096500F" w:rsidRPr="0019523E" w:rsidRDefault="0096500F" w:rsidP="0096500F">
      <w:pPr>
        <w:rPr>
          <w:rFonts w:ascii="Calibri" w:hAnsi="Calibri" w:cs="Calibri"/>
        </w:rPr>
      </w:pPr>
      <w:r w:rsidRPr="0019523E">
        <w:rPr>
          <w:rFonts w:ascii="Calibri" w:hAnsi="Calibri" w:cs="Calibri"/>
        </w:rPr>
        <w:t>Mediation is a voluntary, informal process involving a neutral third party who facilitates dialogue to help disputing employees reach mutual understanding. It’s particularly effective in resolving interpersonal conflict or tensions following organisational change. It promotes relationship repair and avoids formal grievance procedures (ACAS, 2022).</w:t>
      </w:r>
    </w:p>
    <w:p w14:paraId="13FDC22E" w14:textId="5F7A61A8" w:rsidR="0096500F" w:rsidRPr="0019523E" w:rsidRDefault="0096500F" w:rsidP="0096500F">
      <w:pPr>
        <w:rPr>
          <w:rFonts w:ascii="Calibri" w:hAnsi="Calibri" w:cs="Calibri"/>
        </w:rPr>
      </w:pPr>
      <w:r w:rsidRPr="0019523E">
        <w:rPr>
          <w:rFonts w:ascii="Calibri" w:hAnsi="Calibri" w:cs="Calibri"/>
        </w:rPr>
        <w:t>The CIPD (2023b) notes that mediation improves morale, especially when trust has been affected by change or uncertainty. However, it is non-binding and relies on the willingness of both parties to engage, making it less suitable for cases involving serious misconduct.</w:t>
      </w:r>
    </w:p>
    <w:p w14:paraId="090F15DD" w14:textId="77777777" w:rsidR="0096500F" w:rsidRPr="0019523E" w:rsidRDefault="0096500F" w:rsidP="0096500F">
      <w:pPr>
        <w:rPr>
          <w:rFonts w:ascii="Calibri" w:hAnsi="Calibri" w:cs="Calibri"/>
        </w:rPr>
      </w:pPr>
      <w:r w:rsidRPr="0019523E">
        <w:rPr>
          <w:rFonts w:ascii="Calibri" w:hAnsi="Calibri" w:cs="Calibri"/>
        </w:rPr>
        <w:t>Conciliation, usually led by ACAS, is typically used to settle legal disputes before they reach an employment tribunal. It is more formal than mediation and applies when one party (often the employee) has made or is considering a legal claim, such as unfair dismissal or discrimination (Daniels, 2022).</w:t>
      </w:r>
    </w:p>
    <w:p w14:paraId="321AC55A" w14:textId="16203253" w:rsidR="0096500F" w:rsidRPr="0019523E" w:rsidRDefault="0096500F" w:rsidP="0096500F">
      <w:pPr>
        <w:rPr>
          <w:rFonts w:ascii="Calibri" w:hAnsi="Calibri" w:cs="Calibri"/>
        </w:rPr>
      </w:pPr>
      <w:r w:rsidRPr="0019523E">
        <w:rPr>
          <w:rFonts w:ascii="Calibri" w:hAnsi="Calibri" w:cs="Calibri"/>
        </w:rPr>
        <w:t>Unlike mediation, conciliation can lead to legally binding outcomes, but it does not focus on repairing workplace relationships. In our context, conciliation might be used where an employee disputes a redundancy decision following the merger. ACAS Early Conciliation is a mandatory step before tribunal claims (ACAS, 2023).</w:t>
      </w:r>
    </w:p>
    <w:p w14:paraId="4811EEB1" w14:textId="40AAF0F6" w:rsidR="0096500F" w:rsidRPr="0019523E" w:rsidRDefault="0096500F" w:rsidP="0096500F">
      <w:pPr>
        <w:rPr>
          <w:rFonts w:ascii="Calibri" w:hAnsi="Calibri" w:cs="Calibri"/>
        </w:rPr>
      </w:pPr>
      <w:r w:rsidRPr="0019523E">
        <w:rPr>
          <w:rFonts w:ascii="Calibri" w:hAnsi="Calibri" w:cs="Calibri"/>
        </w:rPr>
        <w:t xml:space="preserve">Arbitration is the most formal and binding process. An independent arbitrator hears both sides and makes a final decision, often in collective disputes such as pay negotiations or working conditions. In unionised environments like </w:t>
      </w:r>
      <w:r w:rsidR="00C97985">
        <w:rPr>
          <w:rFonts w:ascii="Calibri" w:hAnsi="Calibri" w:cs="Calibri"/>
        </w:rPr>
        <w:t>the NHS, ar</w:t>
      </w:r>
      <w:r w:rsidRPr="0019523E">
        <w:rPr>
          <w:rFonts w:ascii="Calibri" w:hAnsi="Calibri" w:cs="Calibri"/>
        </w:rPr>
        <w:t>bitration can avoid strikes and maintain service delivery (Armstrong and Taylor, 2023).</w:t>
      </w:r>
    </w:p>
    <w:p w14:paraId="72FEC817" w14:textId="77777777" w:rsidR="0096500F" w:rsidRPr="0019523E" w:rsidRDefault="0096500F" w:rsidP="0096500F">
      <w:pPr>
        <w:rPr>
          <w:rFonts w:ascii="Calibri" w:hAnsi="Calibri" w:cs="Calibri"/>
        </w:rPr>
      </w:pPr>
      <w:r w:rsidRPr="0019523E">
        <w:rPr>
          <w:rFonts w:ascii="Calibri" w:hAnsi="Calibri" w:cs="Calibri"/>
        </w:rPr>
        <w:t>However, arbitration reduces control for both parties and is usually a last resort when other options fail. It’s especially relevant in high-stakes industrial disputes, where disruption must be minimised.</w:t>
      </w:r>
    </w:p>
    <w:p w14:paraId="334EFCF6" w14:textId="77777777" w:rsidR="0096500F" w:rsidRPr="0019523E" w:rsidRDefault="0096500F" w:rsidP="0096500F"/>
    <w:p w14:paraId="784B44B4" w14:textId="77777777" w:rsidR="0096500F" w:rsidRDefault="0096500F" w:rsidP="0096500F"/>
    <w:tbl>
      <w:tblPr>
        <w:tblStyle w:val="MaximusTable"/>
        <w:tblW w:w="10490" w:type="dxa"/>
        <w:tblInd w:w="-289" w:type="dxa"/>
        <w:tblLook w:val="04A0" w:firstRow="1" w:lastRow="0" w:firstColumn="1" w:lastColumn="0" w:noHBand="0" w:noVBand="1"/>
      </w:tblPr>
      <w:tblGrid>
        <w:gridCol w:w="1702"/>
        <w:gridCol w:w="1701"/>
        <w:gridCol w:w="1701"/>
        <w:gridCol w:w="2835"/>
        <w:gridCol w:w="2551"/>
      </w:tblGrid>
      <w:tr w:rsidR="0096500F" w14:paraId="14790158" w14:textId="77777777" w:rsidTr="00C979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tcPr>
          <w:p w14:paraId="7A979756" w14:textId="77777777" w:rsidR="0096500F" w:rsidRDefault="0096500F" w:rsidP="00DF7124">
            <w:r w:rsidRPr="0019523E">
              <w:rPr>
                <w:bCs/>
              </w:rPr>
              <w:t>Method</w:t>
            </w:r>
          </w:p>
        </w:tc>
        <w:tc>
          <w:tcPr>
            <w:tcW w:w="170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1220"/>
            </w:tblGrid>
            <w:tr w:rsidR="0096500F" w:rsidRPr="0019523E" w14:paraId="781106FF" w14:textId="77777777" w:rsidTr="00DF7124">
              <w:trPr>
                <w:tblHeader/>
                <w:tblCellSpacing w:w="15" w:type="dxa"/>
              </w:trPr>
              <w:tc>
                <w:tcPr>
                  <w:tcW w:w="0" w:type="auto"/>
                  <w:vAlign w:val="center"/>
                  <w:hideMark/>
                </w:tcPr>
                <w:p w14:paraId="2495B874" w14:textId="77777777" w:rsidR="0096500F" w:rsidRPr="0019523E" w:rsidRDefault="0096500F" w:rsidP="00DF7124">
                  <w:pPr>
                    <w:rPr>
                      <w:b/>
                      <w:bCs/>
                    </w:rPr>
                  </w:pPr>
                </w:p>
              </w:tc>
              <w:tc>
                <w:tcPr>
                  <w:tcW w:w="0" w:type="auto"/>
                  <w:vAlign w:val="center"/>
                  <w:hideMark/>
                </w:tcPr>
                <w:p w14:paraId="1ED1F782" w14:textId="77777777" w:rsidR="0096500F" w:rsidRPr="0019523E" w:rsidRDefault="0096500F" w:rsidP="00DF7124">
                  <w:pPr>
                    <w:rPr>
                      <w:b/>
                      <w:bCs/>
                    </w:rPr>
                  </w:pPr>
                  <w:r w:rsidRPr="0019523E">
                    <w:rPr>
                      <w:b/>
                      <w:bCs/>
                    </w:rPr>
                    <w:t>Voluntary?</w:t>
                  </w:r>
                </w:p>
              </w:tc>
            </w:tr>
          </w:tbl>
          <w:p w14:paraId="40465D7F" w14:textId="77777777" w:rsidR="0096500F" w:rsidRDefault="0096500F" w:rsidP="00DF7124">
            <w:pPr>
              <w:cnfStyle w:val="100000000000" w:firstRow="1" w:lastRow="0" w:firstColumn="0" w:lastColumn="0" w:oddVBand="0" w:evenVBand="0" w:oddHBand="0" w:evenHBand="0" w:firstRowFirstColumn="0" w:firstRowLastColumn="0" w:lastRowFirstColumn="0" w:lastRowLastColumn="0"/>
            </w:pPr>
          </w:p>
        </w:tc>
        <w:tc>
          <w:tcPr>
            <w:tcW w:w="1701" w:type="dxa"/>
          </w:tcPr>
          <w:p w14:paraId="667DAA86" w14:textId="77777777" w:rsidR="0096500F" w:rsidRDefault="0096500F" w:rsidP="00DF7124">
            <w:pPr>
              <w:cnfStyle w:val="100000000000" w:firstRow="1" w:lastRow="0" w:firstColumn="0" w:lastColumn="0" w:oddVBand="0" w:evenVBand="0" w:oddHBand="0" w:evenHBand="0" w:firstRowFirstColumn="0" w:firstRowLastColumn="0" w:lastRowFirstColumn="0" w:lastRowLastColumn="0"/>
            </w:pPr>
            <w:r>
              <w:t>Binding?</w:t>
            </w:r>
          </w:p>
        </w:tc>
        <w:tc>
          <w:tcPr>
            <w:tcW w:w="2835" w:type="dxa"/>
          </w:tcPr>
          <w:p w14:paraId="7E03CB44" w14:textId="77777777" w:rsidR="0096500F" w:rsidRDefault="0096500F" w:rsidP="00DF7124">
            <w:pPr>
              <w:cnfStyle w:val="100000000000" w:firstRow="1" w:lastRow="0" w:firstColumn="0" w:lastColumn="0" w:oddVBand="0" w:evenVBand="0" w:oddHBand="0" w:evenHBand="0" w:firstRowFirstColumn="0" w:firstRowLastColumn="0" w:lastRowFirstColumn="0" w:lastRowLastColumn="0"/>
            </w:pPr>
            <w:r w:rsidRPr="0019523E">
              <w:rPr>
                <w:bCs/>
              </w:rPr>
              <w:t>Best Used For</w:t>
            </w:r>
          </w:p>
        </w:tc>
        <w:tc>
          <w:tcPr>
            <w:tcW w:w="2551" w:type="dxa"/>
          </w:tcPr>
          <w:p w14:paraId="7299E1D1" w14:textId="77777777" w:rsidR="0096500F" w:rsidRPr="0019523E" w:rsidRDefault="0096500F" w:rsidP="00DF7124">
            <w:pPr>
              <w:cnfStyle w:val="100000000000" w:firstRow="1" w:lastRow="0" w:firstColumn="0" w:lastColumn="0" w:oddVBand="0" w:evenVBand="0" w:oddHBand="0" w:evenHBand="0" w:firstRowFirstColumn="0" w:firstRowLastColumn="0" w:lastRowFirstColumn="0" w:lastRowLastColumn="0"/>
              <w:rPr>
                <w:b w:val="0"/>
                <w:bCs/>
              </w:rPr>
            </w:pPr>
            <w:r w:rsidRPr="0019523E">
              <w:rPr>
                <w:bCs/>
              </w:rPr>
              <w:t>Key Limitation</w:t>
            </w:r>
          </w:p>
        </w:tc>
      </w:tr>
      <w:tr w:rsidR="00C97985" w14:paraId="0EADC09D" w14:textId="77777777" w:rsidTr="00C979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6"/>
            </w:tblGrid>
            <w:tr w:rsidR="0096500F" w:rsidRPr="0019523E" w14:paraId="75128EC5" w14:textId="77777777" w:rsidTr="00DF7124">
              <w:trPr>
                <w:tblCellSpacing w:w="15" w:type="dxa"/>
              </w:trPr>
              <w:tc>
                <w:tcPr>
                  <w:tcW w:w="0" w:type="auto"/>
                  <w:vAlign w:val="center"/>
                  <w:hideMark/>
                </w:tcPr>
                <w:p w14:paraId="01354E89" w14:textId="77777777" w:rsidR="0096500F" w:rsidRPr="0019523E" w:rsidRDefault="0096500F" w:rsidP="00DF7124">
                  <w:r w:rsidRPr="0019523E">
                    <w:t>Mediation</w:t>
                  </w:r>
                </w:p>
              </w:tc>
            </w:tr>
          </w:tbl>
          <w:p w14:paraId="63FC13D3" w14:textId="77777777" w:rsidR="0096500F" w:rsidRDefault="0096500F" w:rsidP="00DF7124"/>
        </w:tc>
        <w:tc>
          <w:tcPr>
            <w:tcW w:w="1701" w:type="dxa"/>
          </w:tcPr>
          <w:p w14:paraId="58917F8F" w14:textId="77777777" w:rsidR="0096500F" w:rsidRDefault="0096500F" w:rsidP="00DF7124">
            <w:pPr>
              <w:cnfStyle w:val="000000100000" w:firstRow="0" w:lastRow="0" w:firstColumn="0" w:lastColumn="0" w:oddVBand="0" w:evenVBand="0" w:oddHBand="1" w:evenHBand="0" w:firstRowFirstColumn="0" w:firstRowLastColumn="0" w:lastRowFirstColumn="0" w:lastRowLastColumn="0"/>
            </w:pPr>
            <w:r>
              <w:t>Yes</w:t>
            </w:r>
          </w:p>
        </w:tc>
        <w:tc>
          <w:tcPr>
            <w:tcW w:w="1701" w:type="dxa"/>
          </w:tcPr>
          <w:p w14:paraId="60D77F18" w14:textId="77777777" w:rsidR="0096500F" w:rsidRDefault="0096500F" w:rsidP="00DF7124">
            <w:pPr>
              <w:cnfStyle w:val="000000100000" w:firstRow="0" w:lastRow="0" w:firstColumn="0" w:lastColumn="0" w:oddVBand="0" w:evenVBand="0" w:oddHBand="1" w:evenHBand="0" w:firstRowFirstColumn="0" w:firstRowLastColumn="0" w:lastRowFirstColumn="0" w:lastRowLastColumn="0"/>
            </w:pPr>
            <w:r>
              <w:t>No</w:t>
            </w:r>
          </w:p>
        </w:tc>
        <w:tc>
          <w:tcPr>
            <w:tcW w:w="2835" w:type="dxa"/>
          </w:tcPr>
          <w:p w14:paraId="46339602" w14:textId="77777777" w:rsidR="0096500F" w:rsidRDefault="0096500F" w:rsidP="00DF7124">
            <w:pPr>
              <w:cnfStyle w:val="000000100000" w:firstRow="0" w:lastRow="0" w:firstColumn="0" w:lastColumn="0" w:oddVBand="0" w:evenVBand="0" w:oddHBand="1" w:evenHBand="0" w:firstRowFirstColumn="0" w:firstRowLastColumn="0" w:lastRowFirstColumn="0" w:lastRowLastColumn="0"/>
            </w:pPr>
            <w:r w:rsidRPr="0019523E">
              <w:t>Repairing relationships, team conflict</w:t>
            </w:r>
          </w:p>
        </w:tc>
        <w:tc>
          <w:tcPr>
            <w:tcW w:w="2551" w:type="dxa"/>
          </w:tcPr>
          <w:p w14:paraId="440E9FD8" w14:textId="77777777" w:rsidR="0096500F" w:rsidRPr="0019523E" w:rsidRDefault="0096500F" w:rsidP="00DF7124">
            <w:pPr>
              <w:cnfStyle w:val="000000100000" w:firstRow="0" w:lastRow="0" w:firstColumn="0" w:lastColumn="0" w:oddVBand="0" w:evenVBand="0" w:oddHBand="1" w:evenHBand="0" w:firstRowFirstColumn="0" w:firstRowLastColumn="0" w:lastRowFirstColumn="0" w:lastRowLastColumn="0"/>
            </w:pPr>
            <w:r w:rsidRPr="0019523E">
              <w:t>Depends on willingness of both parties</w:t>
            </w:r>
          </w:p>
          <w:p w14:paraId="00170880" w14:textId="77777777" w:rsidR="0096500F" w:rsidRDefault="0096500F" w:rsidP="00DF7124">
            <w:pPr>
              <w:cnfStyle w:val="000000100000" w:firstRow="0" w:lastRow="0" w:firstColumn="0" w:lastColumn="0" w:oddVBand="0" w:evenVBand="0" w:oddHBand="1" w:evenHBand="0" w:firstRowFirstColumn="0" w:firstRowLastColumn="0" w:lastRowFirstColumn="0" w:lastRowLastColumn="0"/>
            </w:pPr>
          </w:p>
        </w:tc>
      </w:tr>
      <w:tr w:rsidR="00C97985" w14:paraId="33D82D3F" w14:textId="77777777" w:rsidTr="00C9798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tcPr>
          <w:p w14:paraId="3AC2FDA9" w14:textId="77777777" w:rsidR="0096500F" w:rsidRDefault="0096500F" w:rsidP="00DF7124">
            <w:r w:rsidRPr="0019523E">
              <w:t>Conciliation</w:t>
            </w:r>
          </w:p>
        </w:tc>
        <w:tc>
          <w:tcPr>
            <w:tcW w:w="1701" w:type="dxa"/>
          </w:tcPr>
          <w:p w14:paraId="658A0D7C" w14:textId="77777777" w:rsidR="0096500F" w:rsidRDefault="0096500F" w:rsidP="00DF7124">
            <w:pPr>
              <w:cnfStyle w:val="000000010000" w:firstRow="0" w:lastRow="0" w:firstColumn="0" w:lastColumn="0" w:oddVBand="0" w:evenVBand="0" w:oddHBand="0" w:evenHBand="1" w:firstRowFirstColumn="0" w:firstRowLastColumn="0" w:lastRowFirstColumn="0" w:lastRowLastColumn="0"/>
            </w:pPr>
            <w:r>
              <w:t>Yes</w:t>
            </w:r>
          </w:p>
        </w:tc>
        <w:tc>
          <w:tcPr>
            <w:tcW w:w="1701" w:type="dxa"/>
          </w:tcPr>
          <w:p w14:paraId="7C34348C" w14:textId="77777777" w:rsidR="0096500F" w:rsidRDefault="0096500F" w:rsidP="00DF7124">
            <w:pPr>
              <w:cnfStyle w:val="000000010000" w:firstRow="0" w:lastRow="0" w:firstColumn="0" w:lastColumn="0" w:oddVBand="0" w:evenVBand="0" w:oddHBand="0" w:evenHBand="1" w:firstRowFirstColumn="0" w:firstRowLastColumn="0" w:lastRowFirstColumn="0" w:lastRowLastColumn="0"/>
            </w:pPr>
            <w:r>
              <w:t>Sometimes</w:t>
            </w:r>
          </w:p>
        </w:tc>
        <w:tc>
          <w:tcPr>
            <w:tcW w:w="2835" w:type="dxa"/>
          </w:tcPr>
          <w:p w14:paraId="79D0CB47" w14:textId="77777777" w:rsidR="0096500F" w:rsidRDefault="0096500F" w:rsidP="00DF7124">
            <w:pPr>
              <w:cnfStyle w:val="000000010000" w:firstRow="0" w:lastRow="0" w:firstColumn="0" w:lastColumn="0" w:oddVBand="0" w:evenVBand="0" w:oddHBand="0" w:evenHBand="1" w:firstRowFirstColumn="0" w:firstRowLastColumn="0" w:lastRowFirstColumn="0" w:lastRowLastColumn="0"/>
            </w:pPr>
            <w:r w:rsidRPr="0019523E">
              <w:t>Pre-tribunal settlement (e.g. dismissal claims)</w:t>
            </w:r>
          </w:p>
        </w:tc>
        <w:tc>
          <w:tcPr>
            <w:tcW w:w="2551" w:type="dxa"/>
          </w:tcPr>
          <w:p w14:paraId="5A135CB3" w14:textId="77777777" w:rsidR="0096500F" w:rsidRDefault="0096500F" w:rsidP="00DF7124">
            <w:pPr>
              <w:cnfStyle w:val="000000010000" w:firstRow="0" w:lastRow="0" w:firstColumn="0" w:lastColumn="0" w:oddVBand="0" w:evenVBand="0" w:oddHBand="0" w:evenHBand="1" w:firstRowFirstColumn="0" w:firstRowLastColumn="0" w:lastRowFirstColumn="0" w:lastRowLastColumn="0"/>
            </w:pPr>
            <w:r w:rsidRPr="0019523E">
              <w:t>Often used after relationships deteriorate</w:t>
            </w:r>
          </w:p>
        </w:tc>
      </w:tr>
      <w:tr w:rsidR="00C97985" w14:paraId="6983FFEF" w14:textId="77777777" w:rsidTr="00C979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tcPr>
          <w:p w14:paraId="074CAB26" w14:textId="77777777" w:rsidR="0096500F" w:rsidRDefault="0096500F" w:rsidP="00DF7124">
            <w:r w:rsidRPr="0019523E">
              <w:t>Arbitration</w:t>
            </w:r>
          </w:p>
        </w:tc>
        <w:tc>
          <w:tcPr>
            <w:tcW w:w="1701" w:type="dxa"/>
          </w:tcPr>
          <w:p w14:paraId="234E7B71" w14:textId="77777777" w:rsidR="0096500F" w:rsidRDefault="0096500F" w:rsidP="00DF7124">
            <w:pPr>
              <w:cnfStyle w:val="000000100000" w:firstRow="0" w:lastRow="0" w:firstColumn="0" w:lastColumn="0" w:oddVBand="0" w:evenVBand="0" w:oddHBand="1" w:evenHBand="0" w:firstRowFirstColumn="0" w:firstRowLastColumn="0" w:lastRowFirstColumn="0" w:lastRowLastColumn="0"/>
            </w:pPr>
            <w:r w:rsidRPr="0019523E">
              <w:t>Yes/Agreed</w:t>
            </w:r>
          </w:p>
        </w:tc>
        <w:tc>
          <w:tcPr>
            <w:tcW w:w="1701" w:type="dxa"/>
          </w:tcPr>
          <w:p w14:paraId="14E25F17" w14:textId="77777777" w:rsidR="0096500F" w:rsidRDefault="0096500F" w:rsidP="00DF7124">
            <w:pPr>
              <w:cnfStyle w:val="000000100000" w:firstRow="0" w:lastRow="0" w:firstColumn="0" w:lastColumn="0" w:oddVBand="0" w:evenVBand="0" w:oddHBand="1" w:evenHBand="0" w:firstRowFirstColumn="0" w:firstRowLastColumn="0" w:lastRowFirstColumn="0" w:lastRowLastColumn="0"/>
            </w:pPr>
            <w:r>
              <w:t>Yes</w:t>
            </w:r>
          </w:p>
        </w:tc>
        <w:tc>
          <w:tcPr>
            <w:tcW w:w="2835" w:type="dxa"/>
          </w:tcPr>
          <w:p w14:paraId="4B66C24E" w14:textId="77777777" w:rsidR="0096500F" w:rsidRDefault="0096500F" w:rsidP="00DF7124">
            <w:pPr>
              <w:cnfStyle w:val="000000100000" w:firstRow="0" w:lastRow="0" w:firstColumn="0" w:lastColumn="0" w:oddVBand="0" w:evenVBand="0" w:oddHBand="1" w:evenHBand="0" w:firstRowFirstColumn="0" w:firstRowLastColumn="0" w:lastRowFirstColumn="0" w:lastRowLastColumn="0"/>
            </w:pPr>
            <w:r w:rsidRPr="0019523E">
              <w:t>Union disputes, pay negotiations</w:t>
            </w:r>
          </w:p>
        </w:tc>
        <w:tc>
          <w:tcPr>
            <w:tcW w:w="2551" w:type="dxa"/>
          </w:tcPr>
          <w:p w14:paraId="40391915" w14:textId="77777777" w:rsidR="0096500F" w:rsidRDefault="0096500F" w:rsidP="00DF7124">
            <w:pPr>
              <w:cnfStyle w:val="000000100000" w:firstRow="0" w:lastRow="0" w:firstColumn="0" w:lastColumn="0" w:oddVBand="0" w:evenVBand="0" w:oddHBand="1" w:evenHBand="0" w:firstRowFirstColumn="0" w:firstRowLastColumn="0" w:lastRowFirstColumn="0" w:lastRowLastColumn="0"/>
            </w:pPr>
            <w:r w:rsidRPr="0019523E">
              <w:t>Less flexible, parties surrender control</w:t>
            </w:r>
          </w:p>
        </w:tc>
      </w:tr>
    </w:tbl>
    <w:p w14:paraId="67D97FF7" w14:textId="77777777" w:rsidR="0096500F" w:rsidRDefault="0096500F" w:rsidP="00212DA7">
      <w:pPr>
        <w:rPr>
          <w:rFonts w:ascii="Calibri" w:hAnsi="Calibri" w:cs="Calibri"/>
          <w:sz w:val="22"/>
        </w:rPr>
      </w:pPr>
    </w:p>
    <w:p w14:paraId="427072BA" w14:textId="77777777" w:rsidR="00904B18" w:rsidRDefault="00904B18" w:rsidP="00212DA7">
      <w:pPr>
        <w:rPr>
          <w:rFonts w:ascii="Calibri" w:hAnsi="Calibri" w:cs="Calibri"/>
          <w:sz w:val="22"/>
        </w:rPr>
      </w:pPr>
    </w:p>
    <w:p w14:paraId="472C166A" w14:textId="4B7CFC4E" w:rsidR="00904B18" w:rsidRDefault="00904B18" w:rsidP="00212DA7">
      <w:pPr>
        <w:rPr>
          <w:rFonts w:ascii="Calibri" w:hAnsi="Calibri" w:cs="Calibri"/>
          <w:sz w:val="22"/>
        </w:rPr>
      </w:pPr>
      <w:r>
        <w:rPr>
          <w:rFonts w:ascii="Calibri" w:hAnsi="Calibri" w:cs="Calibri"/>
          <w:sz w:val="22"/>
        </w:rPr>
        <w:lastRenderedPageBreak/>
        <w:t xml:space="preserve">AC </w:t>
      </w:r>
      <w:r w:rsidR="00933497">
        <w:rPr>
          <w:rFonts w:ascii="Calibri" w:hAnsi="Calibri" w:cs="Calibri"/>
          <w:sz w:val="22"/>
        </w:rPr>
        <w:t>3.1</w:t>
      </w:r>
    </w:p>
    <w:p w14:paraId="5568FBF6" w14:textId="77777777" w:rsidR="00933497" w:rsidRPr="00B57F62" w:rsidRDefault="00933497" w:rsidP="00933497">
      <w:pPr>
        <w:rPr>
          <w:rFonts w:ascii="Calibri" w:hAnsi="Calibri" w:cs="Calibri"/>
        </w:rPr>
      </w:pPr>
      <w:r w:rsidRPr="00B57F62">
        <w:rPr>
          <w:rFonts w:ascii="Calibri" w:hAnsi="Calibri" w:cs="Calibri"/>
        </w:rPr>
        <w:t>Following the recent public sector merger, it is essential that new managers—particularly those with private sector backgrounds—understand the legal principles of unfair dismissal, especially where capability and misconduct are concerned. Mishandling such cases risks damaging employee relations, increasing tribunal claims, and affecting public confidence.</w:t>
      </w:r>
    </w:p>
    <w:p w14:paraId="3796F62B" w14:textId="77777777" w:rsidR="00933497" w:rsidRPr="00B57F62" w:rsidRDefault="00933497" w:rsidP="00933497">
      <w:pPr>
        <w:rPr>
          <w:rFonts w:ascii="Calibri" w:hAnsi="Calibri" w:cs="Calibri"/>
        </w:rPr>
      </w:pPr>
      <w:r w:rsidRPr="00B57F62">
        <w:rPr>
          <w:rFonts w:ascii="Calibri" w:hAnsi="Calibri" w:cs="Calibri"/>
        </w:rPr>
        <w:t>Under the Employment Rights Act 1996, employees currently need two years’ continuous service to qualify for general unfair dismissal protection (Daniels, 2022). However, certain dismissals are automatically unfair from day one, including those related to discrimination, whistleblowing, or asserting statutory rights (Equality Act 2010; ACAS, 2023). It is also worth noting that the government has proposed removing the two-year qualifying period altogether, introducing day-one rights for all unfair dismissal claims as part of the anticipated New Deal for Working People (CIPD, 2024). While this is not yet law, managers should remain aware of the potential shift.</w:t>
      </w:r>
    </w:p>
    <w:p w14:paraId="6E658832" w14:textId="77777777" w:rsidR="00933497" w:rsidRPr="00B57F62" w:rsidRDefault="00933497" w:rsidP="00933497">
      <w:pPr>
        <w:rPr>
          <w:rFonts w:ascii="Calibri" w:hAnsi="Calibri" w:cs="Calibri"/>
        </w:rPr>
      </w:pPr>
      <w:r w:rsidRPr="00B57F62">
        <w:rPr>
          <w:rFonts w:ascii="Calibri" w:hAnsi="Calibri" w:cs="Calibri"/>
        </w:rPr>
        <w:t>Capability</w:t>
      </w:r>
    </w:p>
    <w:p w14:paraId="4826DDD3" w14:textId="77777777" w:rsidR="00933497" w:rsidRPr="00B57F62" w:rsidRDefault="00933497" w:rsidP="00933497">
      <w:pPr>
        <w:rPr>
          <w:rFonts w:ascii="Calibri" w:hAnsi="Calibri" w:cs="Calibri"/>
        </w:rPr>
      </w:pPr>
      <w:r w:rsidRPr="00B57F62">
        <w:rPr>
          <w:rFonts w:ascii="Calibri" w:hAnsi="Calibri" w:cs="Calibri"/>
        </w:rPr>
        <w:t>Capability covers poor performance or ill health that prevents the employee from fulfilling their duties. In a healthcare setting, for example, if an advisor cannot manage safeguarding-related calls due to bereavement or mental health concerns, employers must first explore adjustments or alternative duties. If a condition qualifies as a disability under the Equality Act 2010, failing to make reasonable adjustments could result in claims of unfair dismissal and discrimination.</w:t>
      </w:r>
    </w:p>
    <w:p w14:paraId="4F3C8B03" w14:textId="22E03930" w:rsidR="00933497" w:rsidRPr="00B57F62" w:rsidRDefault="00933497" w:rsidP="00933497">
      <w:pPr>
        <w:rPr>
          <w:rFonts w:ascii="Calibri" w:hAnsi="Calibri" w:cs="Calibri"/>
        </w:rPr>
      </w:pPr>
      <w:r w:rsidRPr="00B57F62">
        <w:rPr>
          <w:rFonts w:ascii="Calibri" w:hAnsi="Calibri" w:cs="Calibri"/>
        </w:rPr>
        <w:t>Dismissal on capability grounds should only occur after the employee has been supported with clear goals, reviews, training, and occupational health referrals. Where relevant, flexible working arrangements should also be considered, in line with the Employment Relations (Flexible Working) Act 2023 (Armstrong and Taylor, 2023).</w:t>
      </w:r>
    </w:p>
    <w:p w14:paraId="60ADDE36" w14:textId="77777777" w:rsidR="00933497" w:rsidRPr="00B57F62" w:rsidRDefault="00933497" w:rsidP="00933497">
      <w:pPr>
        <w:rPr>
          <w:rFonts w:ascii="Calibri" w:hAnsi="Calibri" w:cs="Calibri"/>
        </w:rPr>
      </w:pPr>
      <w:r w:rsidRPr="00B57F62">
        <w:rPr>
          <w:rFonts w:ascii="Calibri" w:hAnsi="Calibri" w:cs="Calibri"/>
        </w:rPr>
        <w:t>Misconduct</w:t>
      </w:r>
    </w:p>
    <w:p w14:paraId="09329B95" w14:textId="77777777" w:rsidR="00933497" w:rsidRPr="00B57F62" w:rsidRDefault="00933497" w:rsidP="00933497">
      <w:pPr>
        <w:rPr>
          <w:rFonts w:ascii="Calibri" w:hAnsi="Calibri" w:cs="Calibri"/>
        </w:rPr>
      </w:pPr>
      <w:r w:rsidRPr="00B57F62">
        <w:rPr>
          <w:rFonts w:ascii="Calibri" w:hAnsi="Calibri" w:cs="Calibri"/>
        </w:rPr>
        <w:t>Misconduct involves breaches of organisational standards or rules—e.g. persistent lateness, insubordination, or data breaches. Gross misconduct, such as violence or fraud, may justify summary dismissal. However, even in serious cases, dismissal can still be ruled unfair if the ACAS Code of Practice (2022) is not followed, including investigation, hearing, right to be accompanied, and the right to appeal.</w:t>
      </w:r>
    </w:p>
    <w:p w14:paraId="75874E0F" w14:textId="77777777" w:rsidR="00933497" w:rsidRPr="00B57F62" w:rsidRDefault="00933497" w:rsidP="00933497">
      <w:pPr>
        <w:rPr>
          <w:rFonts w:ascii="Calibri" w:hAnsi="Calibri" w:cs="Calibri"/>
        </w:rPr>
      </w:pPr>
      <w:r w:rsidRPr="00B57F62">
        <w:rPr>
          <w:rFonts w:ascii="Calibri" w:hAnsi="Calibri" w:cs="Calibri"/>
        </w:rPr>
        <w:t>In our merged organisation, consistent and impartial handling is essential—especially given existing union recognition and expectations around procedural fairness.</w:t>
      </w:r>
    </w:p>
    <w:p w14:paraId="1151D40A" w14:textId="77777777" w:rsidR="00933497" w:rsidRPr="00B57F62" w:rsidRDefault="00933497" w:rsidP="00933497">
      <w:pPr>
        <w:rPr>
          <w:rFonts w:ascii="Calibri" w:hAnsi="Calibri" w:cs="Calibri"/>
        </w:rPr>
      </w:pPr>
      <w:r w:rsidRPr="00B57F62">
        <w:rPr>
          <w:rFonts w:ascii="Calibri" w:hAnsi="Calibri" w:cs="Calibri"/>
        </w:rPr>
        <w:t>Fairness and Legal Risk</w:t>
      </w:r>
    </w:p>
    <w:p w14:paraId="0B404D84" w14:textId="77777777" w:rsidR="00933497" w:rsidRPr="00B57F62" w:rsidRDefault="00933497" w:rsidP="00933497">
      <w:pPr>
        <w:rPr>
          <w:rFonts w:ascii="Calibri" w:hAnsi="Calibri" w:cs="Calibri"/>
        </w:rPr>
      </w:pPr>
      <w:r w:rsidRPr="00B57F62">
        <w:rPr>
          <w:rFonts w:ascii="Calibri" w:hAnsi="Calibri" w:cs="Calibri"/>
        </w:rPr>
        <w:t>Dismissals must meet both substantive fairness (valid reason) and procedural fairness (fair process). Employees have three months minus one day from dismissal to bring a claim. ACAS Early Conciliation remains a mandatory step prior to tribunal (ACAS, 2023).</w:t>
      </w:r>
    </w:p>
    <w:p w14:paraId="3CEA782D" w14:textId="77777777" w:rsidR="00933497" w:rsidRPr="00B57F62" w:rsidRDefault="00933497" w:rsidP="00933497">
      <w:pPr>
        <w:rPr>
          <w:rFonts w:ascii="Calibri" w:hAnsi="Calibri" w:cs="Calibri"/>
        </w:rPr>
      </w:pPr>
      <w:r w:rsidRPr="00B57F62">
        <w:rPr>
          <w:rFonts w:ascii="Calibri" w:hAnsi="Calibri" w:cs="Calibri"/>
        </w:rPr>
        <w:t>Ensuring managers understand the law and upcoming reforms is key to protecting staff and the organisation’s reputation during ongoing change.</w:t>
      </w:r>
    </w:p>
    <w:p w14:paraId="28A17743" w14:textId="77777777" w:rsidR="00933497" w:rsidRDefault="00933497" w:rsidP="00212DA7">
      <w:pPr>
        <w:rPr>
          <w:rFonts w:ascii="Calibri" w:hAnsi="Calibri" w:cs="Calibri"/>
          <w:sz w:val="22"/>
        </w:rPr>
      </w:pPr>
    </w:p>
    <w:p w14:paraId="021BEA22" w14:textId="77777777" w:rsidR="00933497" w:rsidRDefault="00933497" w:rsidP="00212DA7">
      <w:pPr>
        <w:rPr>
          <w:rFonts w:ascii="Calibri" w:hAnsi="Calibri" w:cs="Calibri"/>
          <w:sz w:val="22"/>
        </w:rPr>
      </w:pPr>
    </w:p>
    <w:p w14:paraId="6C4748A6" w14:textId="7CBFEBEF" w:rsidR="00933497" w:rsidRDefault="00933497" w:rsidP="00212DA7">
      <w:pPr>
        <w:rPr>
          <w:rFonts w:ascii="Calibri" w:hAnsi="Calibri" w:cs="Calibri"/>
          <w:sz w:val="22"/>
        </w:rPr>
      </w:pPr>
      <w:r>
        <w:rPr>
          <w:rFonts w:ascii="Calibri" w:hAnsi="Calibri" w:cs="Calibri"/>
          <w:sz w:val="22"/>
        </w:rPr>
        <w:t>AC 3.2</w:t>
      </w:r>
    </w:p>
    <w:p w14:paraId="55FC976F" w14:textId="77777777" w:rsidR="00197C4E" w:rsidRPr="00B57F62" w:rsidRDefault="00197C4E" w:rsidP="00197C4E">
      <w:pPr>
        <w:rPr>
          <w:rFonts w:ascii="Calibri" w:hAnsi="Calibri" w:cs="Calibri"/>
        </w:rPr>
      </w:pPr>
      <w:r w:rsidRPr="00B57F62">
        <w:rPr>
          <w:rFonts w:ascii="Calibri" w:hAnsi="Calibri" w:cs="Calibri"/>
        </w:rPr>
        <w:t>In the context of a newly merged public sector organisation, where changes in leadership and working practices may unsettle staff, understanding the root causes of grievances is vital to maintaining employee engagement and workplace harmony. Grievances typically arise when employees feel mistreated, ignored, or disadvantaged. Three of the most common causes are: poor management and communication, bullying or discrimination, and concerns about pay, workload or conditions.</w:t>
      </w:r>
    </w:p>
    <w:p w14:paraId="564A63E6" w14:textId="77777777" w:rsidR="00197C4E" w:rsidRPr="00B57F62" w:rsidRDefault="00197C4E" w:rsidP="00197C4E">
      <w:pPr>
        <w:rPr>
          <w:rFonts w:ascii="Calibri" w:hAnsi="Calibri" w:cs="Calibri"/>
        </w:rPr>
      </w:pPr>
      <w:r w:rsidRPr="00B57F62">
        <w:rPr>
          <w:rFonts w:ascii="Calibri" w:hAnsi="Calibri" w:cs="Calibri"/>
        </w:rPr>
        <w:t>1. Poor Management and Communication</w:t>
      </w:r>
    </w:p>
    <w:p w14:paraId="7EE761F1" w14:textId="77777777" w:rsidR="00197C4E" w:rsidRPr="00B57F62" w:rsidRDefault="00197C4E" w:rsidP="00197C4E">
      <w:pPr>
        <w:rPr>
          <w:rFonts w:ascii="Calibri" w:hAnsi="Calibri" w:cs="Calibri"/>
        </w:rPr>
      </w:pPr>
      <w:r w:rsidRPr="00B57F62">
        <w:rPr>
          <w:rFonts w:ascii="Calibri" w:hAnsi="Calibri" w:cs="Calibri"/>
        </w:rPr>
        <w:t xml:space="preserve">A breakdown in management communication is one of the most frequently cited causes of formal grievances (CIPD, 2023). Employees may feel aggrieved if line managers are inconsistent, unclear, or fail to involve them in decisions affecting their roles. In a merged public sector environment, inconsistent leadership styles—particularly from incoming managers unfamiliar with unionised or </w:t>
      </w:r>
      <w:r w:rsidRPr="00B57F62">
        <w:rPr>
          <w:rFonts w:ascii="Calibri" w:hAnsi="Calibri" w:cs="Calibri"/>
        </w:rPr>
        <w:lastRenderedPageBreak/>
        <w:t>consultative practices—can exacerbate this. Armstrong and Taylor (2023) stress that clear expectations and transparent dialogue help prevent escalation. Furthermore, the psychological contract—employees’ unwritten expectations—can be unintentionally breached during organisational change, triggering feelings of betrayal or disengagement (Daniels, 2022).</w:t>
      </w:r>
    </w:p>
    <w:p w14:paraId="0DA55044" w14:textId="77777777" w:rsidR="00197C4E" w:rsidRPr="00B57F62" w:rsidRDefault="00197C4E" w:rsidP="00197C4E">
      <w:pPr>
        <w:rPr>
          <w:rFonts w:ascii="Calibri" w:hAnsi="Calibri" w:cs="Calibri"/>
        </w:rPr>
      </w:pPr>
      <w:r w:rsidRPr="00B57F62">
        <w:rPr>
          <w:rFonts w:ascii="Calibri" w:hAnsi="Calibri" w:cs="Calibri"/>
        </w:rPr>
        <w:t>2. Bullying, Harassment, or Discrimination</w:t>
      </w:r>
    </w:p>
    <w:p w14:paraId="1A0501F8" w14:textId="77777777" w:rsidR="00197C4E" w:rsidRPr="00B57F62" w:rsidRDefault="00197C4E" w:rsidP="00197C4E">
      <w:pPr>
        <w:rPr>
          <w:rFonts w:ascii="Calibri" w:hAnsi="Calibri" w:cs="Calibri"/>
        </w:rPr>
      </w:pPr>
      <w:r w:rsidRPr="00B57F62">
        <w:rPr>
          <w:rFonts w:ascii="Calibri" w:hAnsi="Calibri" w:cs="Calibri"/>
        </w:rPr>
        <w:t>Issues relating to bullying and discrimination remain a persistent source of grievance. The Equality Act 2010 protects employees from unlawful treatment based on protected characteristics such as race, sex, disability, and age. Daniels (2022) highlights that public sector employers, particularly those providing services to vulnerable groups, are expected to demonstrate high standards of inclusivity and respect. In newly merged teams, differences in culture or leadership style can unintentionally lead to exclusionary behaviours. The CIPD (2023) notes that robust diversity, equity, and inclusion policies must be underpinned by proactive training and fair procedures to avoid both formal grievances and reputational damage.</w:t>
      </w:r>
    </w:p>
    <w:p w14:paraId="4D294296" w14:textId="77777777" w:rsidR="00197C4E" w:rsidRPr="00B57F62" w:rsidRDefault="00197C4E" w:rsidP="00197C4E">
      <w:pPr>
        <w:rPr>
          <w:rFonts w:ascii="Calibri" w:hAnsi="Calibri" w:cs="Calibri"/>
        </w:rPr>
      </w:pPr>
      <w:r w:rsidRPr="00B57F62">
        <w:rPr>
          <w:rFonts w:ascii="Calibri" w:hAnsi="Calibri" w:cs="Calibri"/>
        </w:rPr>
        <w:t>3. Pay, Workload, and Working Conditions</w:t>
      </w:r>
    </w:p>
    <w:p w14:paraId="42EC56E0" w14:textId="77777777" w:rsidR="00197C4E" w:rsidRPr="00B57F62" w:rsidRDefault="00197C4E" w:rsidP="00197C4E">
      <w:pPr>
        <w:rPr>
          <w:rFonts w:ascii="Calibri" w:hAnsi="Calibri" w:cs="Calibri"/>
        </w:rPr>
      </w:pPr>
      <w:r w:rsidRPr="00B57F62">
        <w:rPr>
          <w:rFonts w:ascii="Calibri" w:hAnsi="Calibri" w:cs="Calibri"/>
        </w:rPr>
        <w:t>Concerns about excessive workload, unfair pay differentials, or inadequate working conditions can also prompt formal complaints—especially during restructuring or resource constraints. Armstrong and Taylor (2023) note that perceived unfairness in workload distribution, even if unintentional, can lead to conflict and disengagement. In the public sector, pay scales are often fixed, which may create frustration when merged organisations realign roles or responsibilities. Transparency in role evaluation and open communication with staff forums or trade unions is essential for managing expectations.</w:t>
      </w:r>
    </w:p>
    <w:p w14:paraId="7FCD95CE" w14:textId="77777777" w:rsidR="00197C4E" w:rsidRPr="00B57F62" w:rsidRDefault="00197C4E" w:rsidP="00197C4E">
      <w:pPr>
        <w:rPr>
          <w:rFonts w:ascii="Calibri" w:hAnsi="Calibri" w:cs="Calibri"/>
        </w:rPr>
      </w:pPr>
      <w:r w:rsidRPr="00B57F62">
        <w:rPr>
          <w:rFonts w:ascii="Calibri" w:hAnsi="Calibri" w:cs="Calibri"/>
        </w:rPr>
        <w:t>Ultimately, effective line management, fair processes, and early intervention are key to reducing grievance risk. In line with ACAS (2022) guidance, informal resolution should be encouraged, but formal routes must remain accessible and trusted by staff.</w:t>
      </w:r>
    </w:p>
    <w:p w14:paraId="636CF109" w14:textId="77777777" w:rsidR="00826529" w:rsidRDefault="00826529" w:rsidP="00212DA7">
      <w:pPr>
        <w:rPr>
          <w:rFonts w:ascii="Calibri" w:hAnsi="Calibri" w:cs="Calibri"/>
          <w:sz w:val="22"/>
        </w:rPr>
      </w:pPr>
    </w:p>
    <w:p w14:paraId="0E0B2C8C" w14:textId="173E4077" w:rsidR="00197C4E" w:rsidRDefault="00197C4E" w:rsidP="00212DA7">
      <w:pPr>
        <w:rPr>
          <w:rFonts w:ascii="Calibri" w:hAnsi="Calibri" w:cs="Calibri"/>
          <w:sz w:val="22"/>
        </w:rPr>
      </w:pPr>
      <w:r>
        <w:rPr>
          <w:rFonts w:ascii="Calibri" w:hAnsi="Calibri" w:cs="Calibri"/>
          <w:sz w:val="22"/>
        </w:rPr>
        <w:t>AC 3.3</w:t>
      </w:r>
    </w:p>
    <w:p w14:paraId="1250679A" w14:textId="77777777" w:rsidR="00DA5DA9" w:rsidRPr="00BF3CBC" w:rsidRDefault="00DA5DA9" w:rsidP="00DA5DA9">
      <w:pPr>
        <w:rPr>
          <w:rFonts w:ascii="Calibri" w:hAnsi="Calibri" w:cs="Calibri"/>
        </w:rPr>
      </w:pPr>
      <w:r w:rsidRPr="00BF3CBC">
        <w:rPr>
          <w:rFonts w:ascii="Calibri" w:hAnsi="Calibri" w:cs="Calibri"/>
        </w:rPr>
        <w:t>In any organisation, but particularly during times of structural change like our recent public sector merger, how we handle grievances can have a profound impact on employee morale, trust, and organisational culture. When grievances are dealt with effectively, they help maintain workplace harmony, demonstrate integrity, and reduce the risk of escalation. Poorly managed, they can damage relationships, lead to disengagement or legal action, and undermine our credibility as a People function.</w:t>
      </w:r>
    </w:p>
    <w:p w14:paraId="31A34C0C" w14:textId="77777777" w:rsidR="00DA5DA9" w:rsidRPr="00BF3CBC" w:rsidRDefault="00DA5DA9" w:rsidP="00DA5DA9">
      <w:pPr>
        <w:rPr>
          <w:rFonts w:ascii="Calibri" w:hAnsi="Calibri" w:cs="Calibri"/>
        </w:rPr>
      </w:pPr>
      <w:r w:rsidRPr="00BF3CBC">
        <w:rPr>
          <w:rFonts w:ascii="Calibri" w:hAnsi="Calibri" w:cs="Calibri"/>
        </w:rPr>
        <w:t>According to the ACAS Code of Practice on Disciplinary and Grievance Procedures (2022), employers must ensure that grievance processes are fair, transparent, and timely. This is especially important in a newly merged organisation, where staff may be adjusting to new teams, leadership styles, and procedures. If we’re seen to ignore or mishandle concerns, particularly where there are differences in legacy practices, we risk undermining confidence in the new structure and inviting resentment.</w:t>
      </w:r>
    </w:p>
    <w:p w14:paraId="60A93EAD" w14:textId="77777777" w:rsidR="00DA5DA9" w:rsidRPr="00BF3CBC" w:rsidRDefault="00DA5DA9" w:rsidP="00DA5DA9">
      <w:pPr>
        <w:rPr>
          <w:rFonts w:ascii="Calibri" w:hAnsi="Calibri" w:cs="Calibri"/>
        </w:rPr>
      </w:pPr>
      <w:r w:rsidRPr="00BF3CBC">
        <w:rPr>
          <w:rFonts w:ascii="Calibri" w:hAnsi="Calibri" w:cs="Calibri"/>
        </w:rPr>
        <w:t xml:space="preserve">Grievances often arise where employees feel their voice isn’t being heard. The CIPD (2023) stresses that handling grievances promptly and objectively can </w:t>
      </w:r>
      <w:proofErr w:type="gramStart"/>
      <w:r w:rsidRPr="00BF3CBC">
        <w:rPr>
          <w:rFonts w:ascii="Calibri" w:hAnsi="Calibri" w:cs="Calibri"/>
        </w:rPr>
        <w:t>actually strengthen</w:t>
      </w:r>
      <w:proofErr w:type="gramEnd"/>
      <w:r w:rsidRPr="00BF3CBC">
        <w:rPr>
          <w:rFonts w:ascii="Calibri" w:hAnsi="Calibri" w:cs="Calibri"/>
        </w:rPr>
        <w:t xml:space="preserve"> relationships and improve employee engagement. It demonstrates to employees that their concerns are taken seriously and that fairness is more than just a policy on paper. That’s especially important in the public sector, where transparency and procedural consistency are under </w:t>
      </w:r>
      <w:proofErr w:type="gramStart"/>
      <w:r w:rsidRPr="00BF3CBC">
        <w:rPr>
          <w:rFonts w:ascii="Calibri" w:hAnsi="Calibri" w:cs="Calibri"/>
        </w:rPr>
        <w:t>close scrutiny</w:t>
      </w:r>
      <w:proofErr w:type="gramEnd"/>
      <w:r w:rsidRPr="00BF3CBC">
        <w:rPr>
          <w:rFonts w:ascii="Calibri" w:hAnsi="Calibri" w:cs="Calibri"/>
        </w:rPr>
        <w:t>.</w:t>
      </w:r>
    </w:p>
    <w:p w14:paraId="57D65647" w14:textId="77777777" w:rsidR="00DA5DA9" w:rsidRPr="00BF3CBC" w:rsidRDefault="00DA5DA9" w:rsidP="00DA5DA9">
      <w:pPr>
        <w:rPr>
          <w:rFonts w:ascii="Calibri" w:hAnsi="Calibri" w:cs="Calibri"/>
        </w:rPr>
      </w:pPr>
      <w:r w:rsidRPr="00BF3CBC">
        <w:rPr>
          <w:rFonts w:ascii="Calibri" w:hAnsi="Calibri" w:cs="Calibri"/>
        </w:rPr>
        <w:t>Effective grievance management also plays a critical role in reducing the risk of employment tribunal claims. The Employment Rights Act 1996 protects employees from unfair dismissal or detriment related to grievances, and tribunals will often consider whether the ACAS Code was followed. Failure to do so can lead to a 25% uplift in compensation awards. Daniels (2022) notes that public sector employers often face reputational risks beyond financial cost, making compliance and fairness non-negotiable.</w:t>
      </w:r>
    </w:p>
    <w:p w14:paraId="54B8BD0E" w14:textId="77777777" w:rsidR="00DA5DA9" w:rsidRPr="00BF3CBC" w:rsidRDefault="00DA5DA9" w:rsidP="00DA5DA9">
      <w:pPr>
        <w:rPr>
          <w:rFonts w:ascii="Calibri" w:hAnsi="Calibri" w:cs="Calibri"/>
        </w:rPr>
      </w:pPr>
      <w:r w:rsidRPr="00BF3CBC">
        <w:rPr>
          <w:rFonts w:ascii="Calibri" w:hAnsi="Calibri" w:cs="Calibri"/>
        </w:rPr>
        <w:t xml:space="preserve">From a practical perspective, early and informal resolution is ideal. Armstrong and Taylor (2023) recommend encouraging open dialogue before issues escalate. This could include facilitated </w:t>
      </w:r>
      <w:r w:rsidRPr="00BF3CBC">
        <w:rPr>
          <w:rFonts w:ascii="Calibri" w:hAnsi="Calibri" w:cs="Calibri"/>
        </w:rPr>
        <w:lastRenderedPageBreak/>
        <w:t>conversations, structured check-ins, or line manager coaching. However, formal procedures must still be robust and accessible when needed—particularly in cases involving discrimination, bullying, or organisational decisions that significantly impact staff.</w:t>
      </w:r>
    </w:p>
    <w:p w14:paraId="4E39A511" w14:textId="66053270" w:rsidR="00DA5DA9" w:rsidRPr="00BF3CBC" w:rsidRDefault="00DA5DA9" w:rsidP="00DA5DA9">
      <w:pPr>
        <w:rPr>
          <w:rFonts w:ascii="Calibri" w:hAnsi="Calibri" w:cs="Calibri"/>
        </w:rPr>
      </w:pPr>
      <w:r w:rsidRPr="00BF3CBC">
        <w:rPr>
          <w:rFonts w:ascii="Calibri" w:hAnsi="Calibri" w:cs="Calibri"/>
        </w:rPr>
        <w:t xml:space="preserve">In a newly merged environment, where staff may feel uncertain or displaced, how we handle grievances will be seen as a test of the organisation’s values. Getting this right isn’t just about ticking boxes—it’s about fostering trust, reinforcing fairness, and demonstrating that despite all the change, people remain </w:t>
      </w:r>
      <w:r>
        <w:rPr>
          <w:rFonts w:ascii="Calibri" w:hAnsi="Calibri" w:cs="Calibri"/>
        </w:rPr>
        <w:t>a</w:t>
      </w:r>
      <w:r w:rsidRPr="00BF3CBC">
        <w:rPr>
          <w:rFonts w:ascii="Calibri" w:hAnsi="Calibri" w:cs="Calibri"/>
        </w:rPr>
        <w:t xml:space="preserve"> priority.</w:t>
      </w:r>
    </w:p>
    <w:p w14:paraId="72F15507" w14:textId="77777777" w:rsidR="00197C4E" w:rsidRDefault="00197C4E" w:rsidP="00212DA7">
      <w:pPr>
        <w:rPr>
          <w:rFonts w:ascii="Calibri" w:hAnsi="Calibri" w:cs="Calibri"/>
          <w:sz w:val="22"/>
        </w:rPr>
      </w:pPr>
    </w:p>
    <w:p w14:paraId="58250523" w14:textId="77777777" w:rsidR="00826529" w:rsidRDefault="00826529" w:rsidP="00212DA7">
      <w:pPr>
        <w:rPr>
          <w:rFonts w:ascii="Calibri" w:hAnsi="Calibri" w:cs="Calibri"/>
          <w:sz w:val="22"/>
        </w:rPr>
      </w:pPr>
    </w:p>
    <w:p w14:paraId="6562BA1E" w14:textId="77777777" w:rsidR="00826529" w:rsidRDefault="00826529" w:rsidP="00212DA7">
      <w:pPr>
        <w:rPr>
          <w:rFonts w:ascii="Calibri" w:hAnsi="Calibri" w:cs="Calibri"/>
          <w:sz w:val="22"/>
        </w:rPr>
      </w:pPr>
    </w:p>
    <w:p w14:paraId="660CB59A" w14:textId="77777777" w:rsidR="00EF2B31" w:rsidRDefault="00EF2B31" w:rsidP="00212DA7">
      <w:pPr>
        <w:rPr>
          <w:rFonts w:ascii="Calibri" w:hAnsi="Calibri" w:cs="Calibri"/>
          <w:sz w:val="22"/>
        </w:rPr>
      </w:pPr>
    </w:p>
    <w:p w14:paraId="1261D9C9" w14:textId="77777777" w:rsidR="00260495" w:rsidRDefault="00260495" w:rsidP="00260495">
      <w:pPr>
        <w:rPr>
          <w:rFonts w:ascii="Calibri" w:hAnsi="Calibri" w:cs="Calibri"/>
        </w:rPr>
      </w:pPr>
      <w:r w:rsidRPr="00260495">
        <w:rPr>
          <w:rFonts w:ascii="Calibri" w:hAnsi="Calibri" w:cs="Calibri"/>
        </w:rPr>
        <w:t>Bibliography</w:t>
      </w:r>
    </w:p>
    <w:p w14:paraId="13F64E27" w14:textId="77777777" w:rsidR="00260495" w:rsidRPr="00260495" w:rsidRDefault="00260495" w:rsidP="00260495">
      <w:pPr>
        <w:rPr>
          <w:rFonts w:ascii="Calibri" w:hAnsi="Calibri" w:cs="Calibri"/>
        </w:rPr>
      </w:pPr>
    </w:p>
    <w:p w14:paraId="72404742" w14:textId="6BF5D388" w:rsidR="00260495" w:rsidRPr="00260495" w:rsidRDefault="00260495" w:rsidP="00260495">
      <w:pPr>
        <w:spacing w:line="360" w:lineRule="auto"/>
        <w:rPr>
          <w:rFonts w:ascii="Calibri" w:hAnsi="Calibri" w:cs="Calibri"/>
        </w:rPr>
      </w:pPr>
      <w:r w:rsidRPr="00260495">
        <w:rPr>
          <w:rFonts w:ascii="Calibri" w:hAnsi="Calibri" w:cs="Calibri"/>
        </w:rPr>
        <w:t xml:space="preserve">Armstrong, M. (2020) Armstrong’s Handbook of Human Resource Management Practice. 15th </w:t>
      </w:r>
      <w:proofErr w:type="spellStart"/>
      <w:r w:rsidRPr="00260495">
        <w:rPr>
          <w:rFonts w:ascii="Calibri" w:hAnsi="Calibri" w:cs="Calibri"/>
        </w:rPr>
        <w:t>edn</w:t>
      </w:r>
      <w:proofErr w:type="spellEnd"/>
      <w:r w:rsidRPr="00260495">
        <w:rPr>
          <w:rFonts w:ascii="Calibri" w:hAnsi="Calibri" w:cs="Calibri"/>
        </w:rPr>
        <w:t>. London: Kogan Page.</w:t>
      </w:r>
    </w:p>
    <w:p w14:paraId="68893D4E" w14:textId="77777777" w:rsidR="00260495" w:rsidRPr="00260495" w:rsidRDefault="00260495" w:rsidP="00260495">
      <w:pPr>
        <w:spacing w:line="360" w:lineRule="auto"/>
        <w:rPr>
          <w:rFonts w:ascii="Calibri" w:hAnsi="Calibri" w:cs="Calibri"/>
        </w:rPr>
      </w:pPr>
      <w:r w:rsidRPr="00260495">
        <w:rPr>
          <w:rFonts w:ascii="Calibri" w:hAnsi="Calibri" w:cs="Calibri"/>
        </w:rPr>
        <w:t xml:space="preserve">Daniels, K. (2022) Introduction to Employment Law: Fundamentals for HR and Business Students. 6th </w:t>
      </w:r>
      <w:proofErr w:type="spellStart"/>
      <w:r w:rsidRPr="00260495">
        <w:rPr>
          <w:rFonts w:ascii="Calibri" w:hAnsi="Calibri" w:cs="Calibri"/>
        </w:rPr>
        <w:t>edn</w:t>
      </w:r>
      <w:proofErr w:type="spellEnd"/>
      <w:r w:rsidRPr="00260495">
        <w:rPr>
          <w:rFonts w:ascii="Calibri" w:hAnsi="Calibri" w:cs="Calibri"/>
        </w:rPr>
        <w:t>. London: Kogan Page.</w:t>
      </w:r>
    </w:p>
    <w:p w14:paraId="7401D03F" w14:textId="77777777" w:rsidR="00260495" w:rsidRPr="00260495" w:rsidRDefault="00260495" w:rsidP="00260495">
      <w:pPr>
        <w:spacing w:line="360" w:lineRule="auto"/>
        <w:rPr>
          <w:rFonts w:ascii="Calibri" w:hAnsi="Calibri" w:cs="Calibri"/>
        </w:rPr>
      </w:pPr>
      <w:r w:rsidRPr="00260495">
        <w:rPr>
          <w:rFonts w:ascii="Calibri" w:hAnsi="Calibri" w:cs="Calibri"/>
        </w:rPr>
        <w:t>Holland, P. and Allen, B. (2020) Employment Law: A Practical Introduction. London: Kogan Page.</w:t>
      </w:r>
    </w:p>
    <w:p w14:paraId="049EE4D8" w14:textId="77777777" w:rsidR="00260495" w:rsidRPr="00260495" w:rsidRDefault="00260495" w:rsidP="00260495">
      <w:pPr>
        <w:spacing w:line="360" w:lineRule="auto"/>
        <w:rPr>
          <w:rFonts w:ascii="Calibri" w:hAnsi="Calibri" w:cs="Calibri"/>
        </w:rPr>
      </w:pPr>
      <w:r w:rsidRPr="00260495">
        <w:rPr>
          <w:rFonts w:ascii="Calibri" w:hAnsi="Calibri" w:cs="Calibri"/>
        </w:rPr>
        <w:t>CIPD (2023) Employee voice factsheet. Available at: https://www.cipd.org/uk/knowledge/factsheets/employee-voice-factsheet/ (Accessed: 11 June 2025).</w:t>
      </w:r>
    </w:p>
    <w:p w14:paraId="5EBDF1EE" w14:textId="77777777" w:rsidR="00260495" w:rsidRPr="00260495" w:rsidRDefault="00260495" w:rsidP="00260495">
      <w:pPr>
        <w:spacing w:line="360" w:lineRule="auto"/>
        <w:rPr>
          <w:rFonts w:ascii="Calibri" w:hAnsi="Calibri" w:cs="Calibri"/>
        </w:rPr>
      </w:pPr>
      <w:r w:rsidRPr="00260495">
        <w:rPr>
          <w:rFonts w:ascii="Calibri" w:hAnsi="Calibri" w:cs="Calibri"/>
        </w:rPr>
        <w:t>IPA (2023) How workplace participation increases productivity: Behavioural evidence. Available at</w:t>
      </w:r>
      <w:proofErr w:type="gramStart"/>
      <w:r w:rsidRPr="00260495">
        <w:rPr>
          <w:rFonts w:ascii="Calibri" w:hAnsi="Calibri" w:cs="Calibri"/>
        </w:rPr>
        <w:t>:  (</w:t>
      </w:r>
      <w:proofErr w:type="gramEnd"/>
      <w:r w:rsidRPr="00260495">
        <w:rPr>
          <w:rFonts w:ascii="Calibri" w:hAnsi="Calibri" w:cs="Calibri"/>
        </w:rPr>
        <w:t>Accessed: 11 June 2025).</w:t>
      </w:r>
    </w:p>
    <w:p w14:paraId="37F731E5" w14:textId="77777777" w:rsidR="00260495" w:rsidRPr="00260495" w:rsidRDefault="00260495" w:rsidP="00260495">
      <w:pPr>
        <w:spacing w:line="360" w:lineRule="auto"/>
        <w:rPr>
          <w:rFonts w:ascii="Calibri" w:hAnsi="Calibri" w:cs="Calibri"/>
        </w:rPr>
      </w:pPr>
      <w:r w:rsidRPr="00260495">
        <w:rPr>
          <w:rFonts w:ascii="Calibri" w:hAnsi="Calibri" w:cs="Calibri"/>
        </w:rPr>
        <w:t>IPA (2023) Workplace representation: What next for trade unions and staff forums? Available at</w:t>
      </w:r>
      <w:proofErr w:type="gramStart"/>
      <w:r w:rsidRPr="00260495">
        <w:rPr>
          <w:rFonts w:ascii="Calibri" w:hAnsi="Calibri" w:cs="Calibri"/>
        </w:rPr>
        <w:t>:  (</w:t>
      </w:r>
      <w:proofErr w:type="gramEnd"/>
      <w:r w:rsidRPr="00260495">
        <w:rPr>
          <w:rFonts w:ascii="Calibri" w:hAnsi="Calibri" w:cs="Calibri"/>
        </w:rPr>
        <w:t>Accessed: 11 June 2025).</w:t>
      </w:r>
    </w:p>
    <w:p w14:paraId="2141F064" w14:textId="77777777" w:rsidR="00260495" w:rsidRPr="00260495" w:rsidRDefault="00260495" w:rsidP="00260495">
      <w:pPr>
        <w:spacing w:line="360" w:lineRule="auto"/>
        <w:rPr>
          <w:rFonts w:ascii="Calibri" w:hAnsi="Calibri" w:cs="Calibri"/>
        </w:rPr>
      </w:pPr>
      <w:r w:rsidRPr="00260495">
        <w:rPr>
          <w:rFonts w:ascii="Calibri" w:hAnsi="Calibri" w:cs="Calibri"/>
        </w:rPr>
        <w:t>CIPD (2023) Trade unions and employee voice. Available at: https://www.cipd.org/uk/knowledge/factsheets/employee-voice-factsheet/ (Accessed: 11 June 2025).</w:t>
      </w:r>
    </w:p>
    <w:p w14:paraId="79AFE9C4" w14:textId="77777777" w:rsidR="00260495" w:rsidRPr="00260495" w:rsidRDefault="00260495" w:rsidP="00260495">
      <w:pPr>
        <w:spacing w:line="360" w:lineRule="auto"/>
        <w:rPr>
          <w:rFonts w:ascii="Calibri" w:hAnsi="Calibri" w:cs="Calibri"/>
        </w:rPr>
      </w:pPr>
      <w:r w:rsidRPr="00260495">
        <w:rPr>
          <w:rFonts w:ascii="Calibri" w:hAnsi="Calibri" w:cs="Calibri"/>
        </w:rPr>
        <w:t>CIPD (2023) CIPD Viewpoint: Employee voice. Available at</w:t>
      </w:r>
      <w:proofErr w:type="gramStart"/>
      <w:r w:rsidRPr="00260495">
        <w:rPr>
          <w:rFonts w:ascii="Calibri" w:hAnsi="Calibri" w:cs="Calibri"/>
        </w:rPr>
        <w:t>:  (</w:t>
      </w:r>
      <w:proofErr w:type="gramEnd"/>
      <w:r w:rsidRPr="00260495">
        <w:rPr>
          <w:rFonts w:ascii="Calibri" w:hAnsi="Calibri" w:cs="Calibri"/>
        </w:rPr>
        <w:t>Accessed: 11 June 2025).</w:t>
      </w:r>
    </w:p>
    <w:p w14:paraId="6CA8024E" w14:textId="77777777" w:rsidR="00260495" w:rsidRPr="00260495" w:rsidRDefault="00260495" w:rsidP="00260495">
      <w:pPr>
        <w:spacing w:line="360" w:lineRule="auto"/>
        <w:rPr>
          <w:rFonts w:ascii="Calibri" w:hAnsi="Calibri" w:cs="Calibri"/>
        </w:rPr>
      </w:pPr>
      <w:r w:rsidRPr="00260495">
        <w:rPr>
          <w:rFonts w:ascii="Calibri" w:hAnsi="Calibri" w:cs="Calibri"/>
        </w:rPr>
        <w:t>IPA (2023) Employee voice. Available at</w:t>
      </w:r>
      <w:proofErr w:type="gramStart"/>
      <w:r w:rsidRPr="00260495">
        <w:rPr>
          <w:rFonts w:ascii="Calibri" w:hAnsi="Calibri" w:cs="Calibri"/>
        </w:rPr>
        <w:t>:  (</w:t>
      </w:r>
      <w:proofErr w:type="gramEnd"/>
      <w:r w:rsidRPr="00260495">
        <w:rPr>
          <w:rFonts w:ascii="Calibri" w:hAnsi="Calibri" w:cs="Calibri"/>
        </w:rPr>
        <w:t>Accessed: 11 June 2025).</w:t>
      </w:r>
    </w:p>
    <w:p w14:paraId="046D5F27" w14:textId="77777777" w:rsidR="00260495" w:rsidRPr="00260495" w:rsidRDefault="00260495" w:rsidP="00260495">
      <w:pPr>
        <w:spacing w:line="360" w:lineRule="auto"/>
        <w:rPr>
          <w:rFonts w:ascii="Calibri" w:hAnsi="Calibri" w:cs="Calibri"/>
        </w:rPr>
      </w:pPr>
      <w:r w:rsidRPr="00260495">
        <w:rPr>
          <w:rFonts w:ascii="Calibri" w:hAnsi="Calibri" w:cs="Calibri"/>
        </w:rPr>
        <w:t>Engage for Success (2023) Employee voice. Available at</w:t>
      </w:r>
      <w:proofErr w:type="gramStart"/>
      <w:r w:rsidRPr="00260495">
        <w:rPr>
          <w:rFonts w:ascii="Calibri" w:hAnsi="Calibri" w:cs="Calibri"/>
        </w:rPr>
        <w:t>:  (</w:t>
      </w:r>
      <w:proofErr w:type="gramEnd"/>
      <w:r w:rsidRPr="00260495">
        <w:rPr>
          <w:rFonts w:ascii="Calibri" w:hAnsi="Calibri" w:cs="Calibri"/>
        </w:rPr>
        <w:t>Accessed: 11 June 2025).</w:t>
      </w:r>
    </w:p>
    <w:p w14:paraId="72E81589" w14:textId="77777777" w:rsidR="00260495" w:rsidRPr="00260495" w:rsidRDefault="00260495" w:rsidP="00260495">
      <w:pPr>
        <w:spacing w:line="360" w:lineRule="auto"/>
        <w:rPr>
          <w:rFonts w:ascii="Calibri" w:hAnsi="Calibri" w:cs="Calibri"/>
        </w:rPr>
      </w:pPr>
      <w:r w:rsidRPr="00260495">
        <w:rPr>
          <w:rFonts w:ascii="Calibri" w:hAnsi="Calibri" w:cs="Calibri"/>
        </w:rPr>
        <w:t>CIPD (2023) Good Work Index: UK Working Lives Survey. Available at</w:t>
      </w:r>
      <w:proofErr w:type="gramStart"/>
      <w:r w:rsidRPr="00260495">
        <w:rPr>
          <w:rFonts w:ascii="Calibri" w:hAnsi="Calibri" w:cs="Calibri"/>
        </w:rPr>
        <w:t>:  (</w:t>
      </w:r>
      <w:proofErr w:type="gramEnd"/>
      <w:r w:rsidRPr="00260495">
        <w:rPr>
          <w:rFonts w:ascii="Calibri" w:hAnsi="Calibri" w:cs="Calibri"/>
        </w:rPr>
        <w:t>Accessed: 11 June 2025).</w:t>
      </w:r>
    </w:p>
    <w:p w14:paraId="4C8F15B7" w14:textId="77777777" w:rsidR="00260495" w:rsidRPr="00260495" w:rsidRDefault="00260495" w:rsidP="00260495">
      <w:pPr>
        <w:spacing w:line="360" w:lineRule="auto"/>
        <w:rPr>
          <w:rFonts w:ascii="Calibri" w:hAnsi="Calibri" w:cs="Calibri"/>
        </w:rPr>
      </w:pPr>
      <w:r w:rsidRPr="00260495">
        <w:rPr>
          <w:rFonts w:ascii="Calibri" w:hAnsi="Calibri" w:cs="Calibri"/>
        </w:rPr>
        <w:t>CIPD (2023) What’s hampering good work? [Podcast]. Available at</w:t>
      </w:r>
      <w:proofErr w:type="gramStart"/>
      <w:r w:rsidRPr="00260495">
        <w:rPr>
          <w:rFonts w:ascii="Calibri" w:hAnsi="Calibri" w:cs="Calibri"/>
        </w:rPr>
        <w:t>:  (</w:t>
      </w:r>
      <w:proofErr w:type="gramEnd"/>
      <w:r w:rsidRPr="00260495">
        <w:rPr>
          <w:rFonts w:ascii="Calibri" w:hAnsi="Calibri" w:cs="Calibri"/>
        </w:rPr>
        <w:t>Accessed: 11 June 2025).</w:t>
      </w:r>
    </w:p>
    <w:p w14:paraId="2840EB84" w14:textId="77777777" w:rsidR="00260495" w:rsidRPr="00260495" w:rsidRDefault="00260495" w:rsidP="00260495">
      <w:pPr>
        <w:spacing w:line="360" w:lineRule="auto"/>
        <w:rPr>
          <w:rFonts w:ascii="Calibri" w:hAnsi="Calibri" w:cs="Calibri"/>
        </w:rPr>
      </w:pPr>
      <w:r w:rsidRPr="00260495">
        <w:rPr>
          <w:rFonts w:ascii="Calibri" w:hAnsi="Calibri" w:cs="Calibri"/>
        </w:rPr>
        <w:t>ACAS (2021) Managing conflict at work. Available at: https://www.acas.org.uk/conflict (Accessed: 27 July 2025).</w:t>
      </w:r>
    </w:p>
    <w:p w14:paraId="5D97FF38" w14:textId="77777777" w:rsidR="00260495" w:rsidRPr="00260495" w:rsidRDefault="00260495" w:rsidP="00260495">
      <w:pPr>
        <w:spacing w:line="360" w:lineRule="auto"/>
        <w:rPr>
          <w:rFonts w:ascii="Calibri" w:hAnsi="Calibri" w:cs="Calibri"/>
        </w:rPr>
      </w:pPr>
      <w:r w:rsidRPr="00260495">
        <w:rPr>
          <w:rFonts w:ascii="Calibri" w:hAnsi="Calibri" w:cs="Calibri"/>
        </w:rPr>
        <w:t>ACAS (2022) Code of practice on disciplinary and grievance procedures. Available at: https://www.acas.org.uk/code-of-practice-on-disciplinary-and-grievance-procedures (Accessed: 27 July 2025).</w:t>
      </w:r>
    </w:p>
    <w:p w14:paraId="2B26E023" w14:textId="77777777" w:rsidR="00260495" w:rsidRPr="00260495" w:rsidRDefault="00260495" w:rsidP="00260495">
      <w:pPr>
        <w:spacing w:line="360" w:lineRule="auto"/>
        <w:rPr>
          <w:rFonts w:ascii="Calibri" w:hAnsi="Calibri" w:cs="Calibri"/>
        </w:rPr>
      </w:pPr>
      <w:r w:rsidRPr="00260495">
        <w:rPr>
          <w:rFonts w:ascii="Calibri" w:hAnsi="Calibri" w:cs="Calibri"/>
        </w:rPr>
        <w:lastRenderedPageBreak/>
        <w:t xml:space="preserve">Armstrong, M. and Taylor, S. (2023) Armstrong’s handbook of human resource management practice. 16th </w:t>
      </w:r>
      <w:proofErr w:type="spellStart"/>
      <w:r w:rsidRPr="00260495">
        <w:rPr>
          <w:rFonts w:ascii="Calibri" w:hAnsi="Calibri" w:cs="Calibri"/>
        </w:rPr>
        <w:t>edn</w:t>
      </w:r>
      <w:proofErr w:type="spellEnd"/>
      <w:r w:rsidRPr="00260495">
        <w:rPr>
          <w:rFonts w:ascii="Calibri" w:hAnsi="Calibri" w:cs="Calibri"/>
        </w:rPr>
        <w:t>. London: Kogan Page.</w:t>
      </w:r>
    </w:p>
    <w:p w14:paraId="0D715B8F" w14:textId="77777777" w:rsidR="00260495" w:rsidRPr="00260495" w:rsidRDefault="00260495" w:rsidP="00260495">
      <w:pPr>
        <w:spacing w:line="360" w:lineRule="auto"/>
        <w:rPr>
          <w:rFonts w:ascii="Calibri" w:hAnsi="Calibri" w:cs="Calibri"/>
        </w:rPr>
      </w:pPr>
      <w:r w:rsidRPr="00260495">
        <w:rPr>
          <w:rFonts w:ascii="Calibri" w:hAnsi="Calibri" w:cs="Calibri"/>
        </w:rPr>
        <w:t>CIPD (2020) Managing conflict in the modern workplace. London: CIPD. Available at</w:t>
      </w:r>
      <w:proofErr w:type="gramStart"/>
      <w:r w:rsidRPr="00260495">
        <w:rPr>
          <w:rFonts w:ascii="Calibri" w:hAnsi="Calibri" w:cs="Calibri"/>
        </w:rPr>
        <w:t>:  (</w:t>
      </w:r>
      <w:proofErr w:type="gramEnd"/>
      <w:r w:rsidRPr="00260495">
        <w:rPr>
          <w:rFonts w:ascii="Calibri" w:hAnsi="Calibri" w:cs="Calibri"/>
        </w:rPr>
        <w:t>Accessed: 27 July 2025).</w:t>
      </w:r>
    </w:p>
    <w:p w14:paraId="50D2434E" w14:textId="77777777" w:rsidR="00260495" w:rsidRPr="00260495" w:rsidRDefault="00260495" w:rsidP="00260495">
      <w:pPr>
        <w:spacing w:line="360" w:lineRule="auto"/>
        <w:rPr>
          <w:rFonts w:ascii="Calibri" w:hAnsi="Calibri" w:cs="Calibri"/>
        </w:rPr>
      </w:pPr>
      <w:r w:rsidRPr="00260495">
        <w:rPr>
          <w:rFonts w:ascii="Calibri" w:hAnsi="Calibri" w:cs="Calibri"/>
        </w:rPr>
        <w:t>CIPD (2023a) Good work index: Employee voice and representation in public services. Available at</w:t>
      </w:r>
      <w:proofErr w:type="gramStart"/>
      <w:r w:rsidRPr="00260495">
        <w:rPr>
          <w:rFonts w:ascii="Calibri" w:hAnsi="Calibri" w:cs="Calibri"/>
        </w:rPr>
        <w:t>:  (</w:t>
      </w:r>
      <w:proofErr w:type="gramEnd"/>
      <w:r w:rsidRPr="00260495">
        <w:rPr>
          <w:rFonts w:ascii="Calibri" w:hAnsi="Calibri" w:cs="Calibri"/>
        </w:rPr>
        <w:t>Accessed: 27 July 2025).</w:t>
      </w:r>
    </w:p>
    <w:p w14:paraId="2D6CF6AE" w14:textId="77777777" w:rsidR="00260495" w:rsidRPr="00260495" w:rsidRDefault="00260495" w:rsidP="00260495">
      <w:pPr>
        <w:spacing w:line="360" w:lineRule="auto"/>
        <w:rPr>
          <w:rFonts w:ascii="Calibri" w:hAnsi="Calibri" w:cs="Calibri"/>
        </w:rPr>
      </w:pPr>
      <w:r w:rsidRPr="00260495">
        <w:rPr>
          <w:rFonts w:ascii="Calibri" w:hAnsi="Calibri" w:cs="Calibri"/>
        </w:rPr>
        <w:t>CIPD (2023b) Workplace conflict: Lessons from employee experience. Available at</w:t>
      </w:r>
      <w:proofErr w:type="gramStart"/>
      <w:r w:rsidRPr="00260495">
        <w:rPr>
          <w:rFonts w:ascii="Calibri" w:hAnsi="Calibri" w:cs="Calibri"/>
        </w:rPr>
        <w:t>:  (</w:t>
      </w:r>
      <w:proofErr w:type="gramEnd"/>
      <w:r w:rsidRPr="00260495">
        <w:rPr>
          <w:rFonts w:ascii="Calibri" w:hAnsi="Calibri" w:cs="Calibri"/>
        </w:rPr>
        <w:t>Accessed: 27 July 2025).</w:t>
      </w:r>
    </w:p>
    <w:p w14:paraId="484047E7" w14:textId="77777777" w:rsidR="00260495" w:rsidRPr="00260495" w:rsidRDefault="00260495" w:rsidP="00260495">
      <w:pPr>
        <w:spacing w:line="360" w:lineRule="auto"/>
        <w:rPr>
          <w:rFonts w:ascii="Calibri" w:hAnsi="Calibri" w:cs="Calibri"/>
        </w:rPr>
      </w:pPr>
      <w:r w:rsidRPr="00260495">
        <w:rPr>
          <w:rFonts w:ascii="Calibri" w:hAnsi="Calibri" w:cs="Calibri"/>
        </w:rPr>
        <w:t>CIPD (2023c) Podcast: Shifting perceptions of conflict. Available at: https://www.cipd.org/podcasts (Accessed: 27 July 2025).</w:t>
      </w:r>
    </w:p>
    <w:p w14:paraId="651348D3" w14:textId="77777777" w:rsidR="00260495" w:rsidRPr="00260495" w:rsidRDefault="00260495" w:rsidP="00260495">
      <w:pPr>
        <w:spacing w:line="360" w:lineRule="auto"/>
        <w:rPr>
          <w:rFonts w:ascii="Calibri" w:hAnsi="Calibri" w:cs="Calibri"/>
        </w:rPr>
      </w:pPr>
      <w:r w:rsidRPr="00260495">
        <w:rPr>
          <w:rFonts w:ascii="Calibri" w:hAnsi="Calibri" w:cs="Calibri"/>
        </w:rPr>
        <w:t>CIPD (2023d) Disciplinary procedures: Employer guidance. Available at</w:t>
      </w:r>
      <w:proofErr w:type="gramStart"/>
      <w:r w:rsidRPr="00260495">
        <w:rPr>
          <w:rFonts w:ascii="Calibri" w:hAnsi="Calibri" w:cs="Calibri"/>
        </w:rPr>
        <w:t>:  (</w:t>
      </w:r>
      <w:proofErr w:type="gramEnd"/>
      <w:r w:rsidRPr="00260495">
        <w:rPr>
          <w:rFonts w:ascii="Calibri" w:hAnsi="Calibri" w:cs="Calibri"/>
        </w:rPr>
        <w:t>Accessed: 27 July 2025).</w:t>
      </w:r>
    </w:p>
    <w:p w14:paraId="2FDDB3AD" w14:textId="77777777" w:rsidR="00260495" w:rsidRPr="00260495" w:rsidRDefault="00260495" w:rsidP="00260495">
      <w:pPr>
        <w:spacing w:line="360" w:lineRule="auto"/>
        <w:rPr>
          <w:rFonts w:ascii="Calibri" w:hAnsi="Calibri" w:cs="Calibri"/>
        </w:rPr>
      </w:pPr>
      <w:r w:rsidRPr="00260495">
        <w:rPr>
          <w:rFonts w:ascii="Calibri" w:hAnsi="Calibri" w:cs="Calibri"/>
        </w:rPr>
        <w:t xml:space="preserve">Daniels, K. (2022) Introduction to employment law: Fundamentals for HR and business students. 6th </w:t>
      </w:r>
      <w:proofErr w:type="spellStart"/>
      <w:r w:rsidRPr="00260495">
        <w:rPr>
          <w:rFonts w:ascii="Calibri" w:hAnsi="Calibri" w:cs="Calibri"/>
        </w:rPr>
        <w:t>edn</w:t>
      </w:r>
      <w:proofErr w:type="spellEnd"/>
      <w:r w:rsidRPr="00260495">
        <w:rPr>
          <w:rFonts w:ascii="Calibri" w:hAnsi="Calibri" w:cs="Calibri"/>
        </w:rPr>
        <w:t>. London: Kogan Page.</w:t>
      </w:r>
    </w:p>
    <w:p w14:paraId="6742B256" w14:textId="77777777" w:rsidR="00260495" w:rsidRPr="00260495" w:rsidRDefault="00260495" w:rsidP="00260495">
      <w:pPr>
        <w:spacing w:line="360" w:lineRule="auto"/>
        <w:rPr>
          <w:rFonts w:ascii="Calibri" w:hAnsi="Calibri" w:cs="Calibri"/>
        </w:rPr>
      </w:pPr>
      <w:r w:rsidRPr="00260495">
        <w:rPr>
          <w:rFonts w:ascii="Calibri" w:hAnsi="Calibri" w:cs="Calibri"/>
        </w:rPr>
        <w:t>Resolution Foundation (2022) Job quality and fairness in the public sector. Available at: https://www.resolutionfoundation.org (Accessed: 27 July 2025).</w:t>
      </w:r>
    </w:p>
    <w:p w14:paraId="04C079D1" w14:textId="77777777" w:rsidR="00260495" w:rsidRPr="00260495" w:rsidRDefault="00260495" w:rsidP="00260495">
      <w:pPr>
        <w:spacing w:line="360" w:lineRule="auto"/>
        <w:rPr>
          <w:rFonts w:ascii="Calibri" w:hAnsi="Calibri" w:cs="Calibri"/>
        </w:rPr>
      </w:pPr>
      <w:r w:rsidRPr="00260495">
        <w:rPr>
          <w:rFonts w:ascii="Calibri" w:hAnsi="Calibri" w:cs="Calibri"/>
        </w:rPr>
        <w:t>ACAS (2022) Managing conflict at work. Available at: https://www.acas.org.uk/conflict (Accessed: 27 July 2025).</w:t>
      </w:r>
    </w:p>
    <w:p w14:paraId="670E01F8" w14:textId="77777777" w:rsidR="00260495" w:rsidRPr="00260495" w:rsidRDefault="00260495" w:rsidP="00260495">
      <w:pPr>
        <w:spacing w:line="360" w:lineRule="auto"/>
        <w:rPr>
          <w:rFonts w:ascii="Calibri" w:hAnsi="Calibri" w:cs="Calibri"/>
        </w:rPr>
      </w:pPr>
      <w:r w:rsidRPr="00260495">
        <w:rPr>
          <w:rFonts w:ascii="Calibri" w:hAnsi="Calibri" w:cs="Calibri"/>
        </w:rPr>
        <w:t>CIPD (2023b) Managing conflict in the modern workplace. London: CIPD. Available at</w:t>
      </w:r>
      <w:proofErr w:type="gramStart"/>
      <w:r w:rsidRPr="00260495">
        <w:rPr>
          <w:rFonts w:ascii="Calibri" w:hAnsi="Calibri" w:cs="Calibri"/>
        </w:rPr>
        <w:t>:  (</w:t>
      </w:r>
      <w:proofErr w:type="gramEnd"/>
      <w:r w:rsidRPr="00260495">
        <w:rPr>
          <w:rFonts w:ascii="Calibri" w:hAnsi="Calibri" w:cs="Calibri"/>
        </w:rPr>
        <w:t>Accessed: 27 July 2025).</w:t>
      </w:r>
    </w:p>
    <w:p w14:paraId="1F6E6608" w14:textId="77777777" w:rsidR="00260495" w:rsidRPr="00260495" w:rsidRDefault="00260495" w:rsidP="00260495">
      <w:pPr>
        <w:spacing w:line="360" w:lineRule="auto"/>
        <w:rPr>
          <w:rFonts w:ascii="Calibri" w:hAnsi="Calibri" w:cs="Calibri"/>
        </w:rPr>
      </w:pPr>
      <w:r w:rsidRPr="00260495">
        <w:rPr>
          <w:rFonts w:ascii="Calibri" w:hAnsi="Calibri" w:cs="Calibri"/>
        </w:rPr>
        <w:t>ACAS (2022) Code of practice on disciplinary and grievance procedures. Available at: https://www.acas.org.uk/code-of-practice-on-disciplinary-and-grievance-procedures</w:t>
      </w:r>
    </w:p>
    <w:p w14:paraId="694CF9B3" w14:textId="77777777" w:rsidR="00260495" w:rsidRPr="00260495" w:rsidRDefault="00260495" w:rsidP="00260495">
      <w:pPr>
        <w:spacing w:line="360" w:lineRule="auto"/>
        <w:rPr>
          <w:rFonts w:ascii="Calibri" w:hAnsi="Calibri" w:cs="Calibri"/>
        </w:rPr>
      </w:pPr>
      <w:r w:rsidRPr="00260495">
        <w:rPr>
          <w:rFonts w:ascii="Calibri" w:hAnsi="Calibri" w:cs="Calibri"/>
        </w:rPr>
        <w:t>ACAS (2023) Early conciliation explained. Available at: https://www.acas.org.uk/early-conciliation</w:t>
      </w:r>
    </w:p>
    <w:p w14:paraId="49143C17" w14:textId="77777777" w:rsidR="00260495" w:rsidRPr="00260495" w:rsidRDefault="00260495" w:rsidP="00260495">
      <w:pPr>
        <w:spacing w:line="360" w:lineRule="auto"/>
        <w:rPr>
          <w:rFonts w:ascii="Calibri" w:hAnsi="Calibri" w:cs="Calibri"/>
        </w:rPr>
      </w:pPr>
      <w:r w:rsidRPr="00260495">
        <w:rPr>
          <w:rFonts w:ascii="Calibri" w:hAnsi="Calibri" w:cs="Calibri"/>
        </w:rPr>
        <w:t>CIPD (2023a) Resolving workplace disputes. Available at: https://www.cipd.org/uk/knowledge/fundamentals/emp-law/conflict</w:t>
      </w:r>
    </w:p>
    <w:p w14:paraId="2852260F" w14:textId="77777777" w:rsidR="00260495" w:rsidRPr="00260495" w:rsidRDefault="00260495" w:rsidP="00260495">
      <w:pPr>
        <w:spacing w:line="360" w:lineRule="auto"/>
        <w:rPr>
          <w:rFonts w:ascii="Calibri" w:hAnsi="Calibri" w:cs="Calibri"/>
        </w:rPr>
      </w:pPr>
      <w:r w:rsidRPr="00260495">
        <w:rPr>
          <w:rFonts w:ascii="Calibri" w:hAnsi="Calibri" w:cs="Calibri"/>
        </w:rPr>
        <w:t>CIPD (2023b) Managing conflict in the modern workplace. Available at:</w:t>
      </w:r>
    </w:p>
    <w:p w14:paraId="728ACFE8" w14:textId="77777777" w:rsidR="00260495" w:rsidRPr="00260495" w:rsidRDefault="00260495" w:rsidP="00260495">
      <w:pPr>
        <w:spacing w:line="360" w:lineRule="auto"/>
        <w:rPr>
          <w:rFonts w:ascii="Calibri" w:hAnsi="Calibri" w:cs="Calibri"/>
        </w:rPr>
      </w:pPr>
      <w:r w:rsidRPr="00260495">
        <w:rPr>
          <w:rFonts w:ascii="Calibri" w:hAnsi="Calibri" w:cs="Calibri"/>
        </w:rPr>
        <w:t xml:space="preserve">Daniels, K. (2022) Introduction to employment law. 6th </w:t>
      </w:r>
      <w:proofErr w:type="spellStart"/>
      <w:r w:rsidRPr="00260495">
        <w:rPr>
          <w:rFonts w:ascii="Calibri" w:hAnsi="Calibri" w:cs="Calibri"/>
        </w:rPr>
        <w:t>edn</w:t>
      </w:r>
      <w:proofErr w:type="spellEnd"/>
      <w:r w:rsidRPr="00260495">
        <w:rPr>
          <w:rFonts w:ascii="Calibri" w:hAnsi="Calibri" w:cs="Calibri"/>
        </w:rPr>
        <w:t>. London: Kogan Page.</w:t>
      </w:r>
    </w:p>
    <w:p w14:paraId="5256FBE7" w14:textId="77777777" w:rsidR="00260495" w:rsidRPr="00260495" w:rsidRDefault="00260495" w:rsidP="00260495">
      <w:pPr>
        <w:spacing w:line="360" w:lineRule="auto"/>
        <w:rPr>
          <w:rFonts w:ascii="Calibri" w:hAnsi="Calibri" w:cs="Calibri"/>
        </w:rPr>
      </w:pPr>
      <w:r w:rsidRPr="00260495">
        <w:rPr>
          <w:rFonts w:ascii="Calibri" w:hAnsi="Calibri" w:cs="Calibri"/>
        </w:rPr>
        <w:t>ACAS (2022) Code of practice on disciplinary and grievance procedures. Available at:</w:t>
      </w:r>
    </w:p>
    <w:p w14:paraId="6E0ABA3C" w14:textId="77777777" w:rsidR="00260495" w:rsidRPr="00260495" w:rsidRDefault="00260495" w:rsidP="00260495">
      <w:pPr>
        <w:spacing w:line="360" w:lineRule="auto"/>
        <w:rPr>
          <w:rFonts w:ascii="Calibri" w:hAnsi="Calibri" w:cs="Calibri"/>
        </w:rPr>
      </w:pPr>
      <w:r w:rsidRPr="00260495">
        <w:rPr>
          <w:rFonts w:ascii="Calibri" w:hAnsi="Calibri" w:cs="Calibri"/>
        </w:rPr>
        <w:t>ACAS (2023) Early conciliation explained. Available at:</w:t>
      </w:r>
    </w:p>
    <w:p w14:paraId="2C979086" w14:textId="77777777" w:rsidR="00260495" w:rsidRPr="00260495" w:rsidRDefault="00260495" w:rsidP="00260495">
      <w:pPr>
        <w:spacing w:line="360" w:lineRule="auto"/>
        <w:rPr>
          <w:rFonts w:ascii="Calibri" w:hAnsi="Calibri" w:cs="Calibri"/>
        </w:rPr>
      </w:pPr>
      <w:r w:rsidRPr="00260495">
        <w:rPr>
          <w:rFonts w:ascii="Calibri" w:hAnsi="Calibri" w:cs="Calibri"/>
        </w:rPr>
        <w:t>CIPD (2024) Labour Market Outlook – Spring 2024: Policy Proposals. Available at: https://www.cipd.org/uk/knowledge/reports</w:t>
      </w:r>
    </w:p>
    <w:p w14:paraId="4D9040EA" w14:textId="77777777" w:rsidR="00260495" w:rsidRPr="00260495" w:rsidRDefault="00260495" w:rsidP="00260495">
      <w:pPr>
        <w:spacing w:line="360" w:lineRule="auto"/>
        <w:rPr>
          <w:rFonts w:ascii="Calibri" w:hAnsi="Calibri" w:cs="Calibri"/>
        </w:rPr>
      </w:pPr>
      <w:r w:rsidRPr="00260495">
        <w:rPr>
          <w:rFonts w:ascii="Calibri" w:hAnsi="Calibri" w:cs="Calibri"/>
        </w:rPr>
        <w:t>Employment Rights Act 1996. Available at: https://www.legislation.gov.uk/ukpga/1996/18</w:t>
      </w:r>
    </w:p>
    <w:p w14:paraId="321741DA" w14:textId="77777777" w:rsidR="00260495" w:rsidRPr="00260495" w:rsidRDefault="00260495" w:rsidP="00260495">
      <w:pPr>
        <w:spacing w:line="360" w:lineRule="auto"/>
        <w:rPr>
          <w:rFonts w:ascii="Calibri" w:hAnsi="Calibri" w:cs="Calibri"/>
        </w:rPr>
      </w:pPr>
      <w:r w:rsidRPr="00260495">
        <w:rPr>
          <w:rFonts w:ascii="Calibri" w:hAnsi="Calibri" w:cs="Calibri"/>
        </w:rPr>
        <w:t>Employment Relations (Flexible Working) Act 2023. Available at: https://www.legislation.gov.uk/ukpga/2023/20/enacted</w:t>
      </w:r>
    </w:p>
    <w:p w14:paraId="414610CD" w14:textId="77777777" w:rsidR="00260495" w:rsidRPr="00260495" w:rsidRDefault="00260495" w:rsidP="00260495">
      <w:pPr>
        <w:spacing w:line="360" w:lineRule="auto"/>
        <w:rPr>
          <w:rFonts w:ascii="Calibri" w:hAnsi="Calibri" w:cs="Calibri"/>
        </w:rPr>
      </w:pPr>
      <w:r w:rsidRPr="00260495">
        <w:rPr>
          <w:rFonts w:ascii="Calibri" w:hAnsi="Calibri" w:cs="Calibri"/>
        </w:rPr>
        <w:lastRenderedPageBreak/>
        <w:t>Equality Act 2010. Available at: https://www.legislation.gov.uk/ukpga/2010/15</w:t>
      </w:r>
    </w:p>
    <w:p w14:paraId="37FF62B0" w14:textId="77777777" w:rsidR="00260495" w:rsidRPr="00260495" w:rsidRDefault="00260495" w:rsidP="00260495">
      <w:pPr>
        <w:spacing w:line="360" w:lineRule="auto"/>
        <w:rPr>
          <w:rFonts w:ascii="Calibri" w:hAnsi="Calibri" w:cs="Calibri"/>
        </w:rPr>
      </w:pPr>
      <w:r w:rsidRPr="00260495">
        <w:rPr>
          <w:rFonts w:ascii="Calibri" w:hAnsi="Calibri" w:cs="Calibri"/>
        </w:rPr>
        <w:t>CIPD (2023) Resolving workplace disputes. Available at:</w:t>
      </w:r>
    </w:p>
    <w:p w14:paraId="183B6F4E" w14:textId="77777777" w:rsidR="00EF2B31" w:rsidRDefault="00EF2B31" w:rsidP="00260495">
      <w:pPr>
        <w:spacing w:line="360" w:lineRule="auto"/>
        <w:rPr>
          <w:rFonts w:ascii="Calibri" w:hAnsi="Calibri" w:cs="Calibri"/>
          <w:sz w:val="22"/>
        </w:rPr>
      </w:pPr>
    </w:p>
    <w:sectPr w:rsidR="00EF2B31" w:rsidSect="007F4F51">
      <w:pgSz w:w="11906" w:h="16838" w:code="9"/>
      <w:pgMar w:top="992" w:right="992" w:bottom="1134" w:left="992" w:header="56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Light">
    <w:charset w:val="00"/>
    <w:family w:val="swiss"/>
    <w:pitch w:val="variable"/>
    <w:sig w:usb0="A00000EF" w:usb1="5000204B" w:usb2="00000000" w:usb3="00000000" w:csb0="00000093"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3CB2FCBC"/>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24C3316"/>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7BF6E886"/>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BC70842A"/>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173521A"/>
    <w:multiLevelType w:val="multilevel"/>
    <w:tmpl w:val="3C9EF466"/>
    <w:lvl w:ilvl="0">
      <w:start w:val="1"/>
      <w:numFmt w:val="decimal"/>
      <w:lvlText w:val="%1."/>
      <w:lvlJc w:val="left"/>
      <w:pPr>
        <w:ind w:left="851" w:hanging="851"/>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851" w:hanging="85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5" w15:restartNumberingAfterBreak="0">
    <w:nsid w:val="05EE2BB0"/>
    <w:multiLevelType w:val="multilevel"/>
    <w:tmpl w:val="82D6B160"/>
    <w:numStyleLink w:val="ListBullets"/>
  </w:abstractNum>
  <w:abstractNum w:abstractNumId="6" w15:restartNumberingAfterBreak="0">
    <w:nsid w:val="15D3767B"/>
    <w:multiLevelType w:val="multilevel"/>
    <w:tmpl w:val="AD8A069C"/>
    <w:numStyleLink w:val="ListNumbers"/>
  </w:abstractNum>
  <w:abstractNum w:abstractNumId="7" w15:restartNumberingAfterBreak="0">
    <w:nsid w:val="2295782A"/>
    <w:multiLevelType w:val="multilevel"/>
    <w:tmpl w:val="AD8A069C"/>
    <w:numStyleLink w:val="ListNumbers"/>
  </w:abstractNum>
  <w:abstractNum w:abstractNumId="8" w15:restartNumberingAfterBreak="0">
    <w:nsid w:val="22DD2137"/>
    <w:multiLevelType w:val="multilevel"/>
    <w:tmpl w:val="82D6B160"/>
    <w:numStyleLink w:val="ListBullets"/>
  </w:abstractNum>
  <w:abstractNum w:abstractNumId="9" w15:restartNumberingAfterBreak="0">
    <w:nsid w:val="245D4EA5"/>
    <w:multiLevelType w:val="multilevel"/>
    <w:tmpl w:val="3C9EF466"/>
    <w:lvl w:ilvl="0">
      <w:start w:val="1"/>
      <w:numFmt w:val="decimal"/>
      <w:lvlText w:val="%1."/>
      <w:lvlJc w:val="left"/>
      <w:pPr>
        <w:ind w:left="851" w:hanging="851"/>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851" w:hanging="85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10" w15:restartNumberingAfterBreak="0">
    <w:nsid w:val="343F0CC9"/>
    <w:multiLevelType w:val="multilevel"/>
    <w:tmpl w:val="82D6B160"/>
    <w:numStyleLink w:val="ListBullets"/>
  </w:abstractNum>
  <w:abstractNum w:abstractNumId="11" w15:restartNumberingAfterBreak="0">
    <w:nsid w:val="46C8199E"/>
    <w:multiLevelType w:val="multilevel"/>
    <w:tmpl w:val="DA545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F57664"/>
    <w:multiLevelType w:val="multilevel"/>
    <w:tmpl w:val="82D6B160"/>
    <w:styleLink w:val="ListBullets"/>
    <w:lvl w:ilvl="0">
      <w:start w:val="1"/>
      <w:numFmt w:val="bullet"/>
      <w:lvlRestart w:val="0"/>
      <w:pStyle w:val="ListBullet"/>
      <w:lvlText w:val=""/>
      <w:lvlJc w:val="left"/>
      <w:pPr>
        <w:tabs>
          <w:tab w:val="num" w:pos="357"/>
        </w:tabs>
        <w:ind w:left="714" w:hanging="357"/>
      </w:pPr>
      <w:rPr>
        <w:rFonts w:ascii="Symbol" w:hAnsi="Symbol" w:hint="default"/>
        <w:color w:val="9F7FC9" w:themeColor="accent2"/>
      </w:rPr>
    </w:lvl>
    <w:lvl w:ilvl="1">
      <w:start w:val="1"/>
      <w:numFmt w:val="bullet"/>
      <w:pStyle w:val="ListBullet2"/>
      <w:lvlText w:val="o"/>
      <w:lvlJc w:val="left"/>
      <w:pPr>
        <w:tabs>
          <w:tab w:val="num" w:pos="714"/>
        </w:tabs>
        <w:ind w:left="1071" w:hanging="357"/>
      </w:pPr>
      <w:rPr>
        <w:rFonts w:ascii="Courier New" w:hAnsi="Courier New" w:hint="default"/>
        <w:color w:val="9F7FC9" w:themeColor="accent2"/>
      </w:rPr>
    </w:lvl>
    <w:lvl w:ilvl="2">
      <w:start w:val="1"/>
      <w:numFmt w:val="bullet"/>
      <w:pStyle w:val="ListBullet3"/>
      <w:lvlText w:val=""/>
      <w:lvlJc w:val="left"/>
      <w:pPr>
        <w:tabs>
          <w:tab w:val="num" w:pos="1071"/>
        </w:tabs>
        <w:ind w:left="1428" w:hanging="357"/>
      </w:pPr>
      <w:rPr>
        <w:rFonts w:ascii="Wingdings" w:hAnsi="Wingdings" w:hint="default"/>
        <w:color w:val="9F7FC9" w:themeColor="accent2"/>
      </w:rPr>
    </w:lvl>
    <w:lvl w:ilvl="3">
      <w:start w:val="1"/>
      <w:numFmt w:val="bullet"/>
      <w:lvlText w:val=""/>
      <w:lvlJc w:val="left"/>
      <w:pPr>
        <w:tabs>
          <w:tab w:val="num" w:pos="1428"/>
        </w:tabs>
        <w:ind w:left="1785" w:hanging="357"/>
      </w:pPr>
      <w:rPr>
        <w:rFonts w:ascii="Symbol" w:hAnsi="Symbol" w:hint="default"/>
        <w:color w:val="9F7FC9" w:themeColor="accent2"/>
      </w:rPr>
    </w:lvl>
    <w:lvl w:ilvl="4">
      <w:start w:val="1"/>
      <w:numFmt w:val="bullet"/>
      <w:lvlText w:val="o"/>
      <w:lvlJc w:val="left"/>
      <w:pPr>
        <w:tabs>
          <w:tab w:val="num" w:pos="1785"/>
        </w:tabs>
        <w:ind w:left="2142" w:hanging="357"/>
      </w:pPr>
      <w:rPr>
        <w:rFonts w:ascii="Courier New" w:hAnsi="Courier New" w:hint="default"/>
        <w:color w:val="9F7FC9" w:themeColor="accent2"/>
      </w:rPr>
    </w:lvl>
    <w:lvl w:ilvl="5">
      <w:start w:val="1"/>
      <w:numFmt w:val="bullet"/>
      <w:lvlText w:val=""/>
      <w:lvlJc w:val="left"/>
      <w:pPr>
        <w:tabs>
          <w:tab w:val="num" w:pos="2142"/>
        </w:tabs>
        <w:ind w:left="2499" w:hanging="357"/>
      </w:pPr>
      <w:rPr>
        <w:rFonts w:ascii="Wingdings" w:hAnsi="Wingdings" w:hint="default"/>
        <w:color w:val="9F7FC9" w:themeColor="accent2"/>
      </w:rPr>
    </w:lvl>
    <w:lvl w:ilvl="6">
      <w:start w:val="1"/>
      <w:numFmt w:val="bullet"/>
      <w:lvlText w:val=""/>
      <w:lvlJc w:val="left"/>
      <w:pPr>
        <w:tabs>
          <w:tab w:val="num" w:pos="2499"/>
        </w:tabs>
        <w:ind w:left="2856" w:hanging="357"/>
      </w:pPr>
      <w:rPr>
        <w:rFonts w:ascii="Symbol" w:hAnsi="Symbol" w:hint="default"/>
        <w:color w:val="9F7FC9" w:themeColor="accent2"/>
      </w:rPr>
    </w:lvl>
    <w:lvl w:ilvl="7">
      <w:start w:val="1"/>
      <w:numFmt w:val="bullet"/>
      <w:lvlText w:val="o"/>
      <w:lvlJc w:val="left"/>
      <w:pPr>
        <w:tabs>
          <w:tab w:val="num" w:pos="2856"/>
        </w:tabs>
        <w:ind w:left="3213" w:hanging="357"/>
      </w:pPr>
      <w:rPr>
        <w:rFonts w:ascii="Courier New" w:hAnsi="Courier New" w:hint="default"/>
        <w:color w:val="9F7FC9" w:themeColor="accent2"/>
      </w:rPr>
    </w:lvl>
    <w:lvl w:ilvl="8">
      <w:start w:val="1"/>
      <w:numFmt w:val="bullet"/>
      <w:lvlText w:val=""/>
      <w:lvlJc w:val="left"/>
      <w:pPr>
        <w:tabs>
          <w:tab w:val="num" w:pos="3213"/>
        </w:tabs>
        <w:ind w:left="3570" w:hanging="357"/>
      </w:pPr>
      <w:rPr>
        <w:rFonts w:ascii="Wingdings" w:hAnsi="Wingdings" w:hint="default"/>
        <w:color w:val="9F7FC9" w:themeColor="accent2"/>
      </w:rPr>
    </w:lvl>
  </w:abstractNum>
  <w:abstractNum w:abstractNumId="13" w15:restartNumberingAfterBreak="0">
    <w:nsid w:val="4FF76E44"/>
    <w:multiLevelType w:val="multilevel"/>
    <w:tmpl w:val="3C9EF466"/>
    <w:lvl w:ilvl="0">
      <w:start w:val="1"/>
      <w:numFmt w:val="decimal"/>
      <w:lvlText w:val="%1."/>
      <w:lvlJc w:val="left"/>
      <w:pPr>
        <w:ind w:left="851" w:hanging="851"/>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851" w:hanging="85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14" w15:restartNumberingAfterBreak="0">
    <w:nsid w:val="5BA47ED6"/>
    <w:multiLevelType w:val="multilevel"/>
    <w:tmpl w:val="458A3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D400F2"/>
    <w:multiLevelType w:val="multilevel"/>
    <w:tmpl w:val="82D6B160"/>
    <w:numStyleLink w:val="ListBullets"/>
  </w:abstractNum>
  <w:abstractNum w:abstractNumId="16" w15:restartNumberingAfterBreak="0">
    <w:nsid w:val="64EF601B"/>
    <w:multiLevelType w:val="multilevel"/>
    <w:tmpl w:val="AD8A069C"/>
    <w:styleLink w:val="ListNumbers"/>
    <w:lvl w:ilvl="0">
      <w:start w:val="1"/>
      <w:numFmt w:val="decimal"/>
      <w:lvlRestart w:val="0"/>
      <w:pStyle w:val="ListNumber"/>
      <w:lvlText w:val="%1."/>
      <w:lvlJc w:val="left"/>
      <w:pPr>
        <w:ind w:left="357" w:hanging="357"/>
      </w:pPr>
      <w:rPr>
        <w:rFonts w:hint="default"/>
      </w:rPr>
    </w:lvl>
    <w:lvl w:ilvl="1">
      <w:start w:val="1"/>
      <w:numFmt w:val="decimal"/>
      <w:lvlText w:val="%1.%2."/>
      <w:lvlJc w:val="left"/>
      <w:pPr>
        <w:ind w:left="896" w:hanging="539"/>
      </w:pPr>
      <w:rPr>
        <w:rFonts w:hint="default"/>
      </w:rPr>
    </w:lvl>
    <w:lvl w:ilvl="2">
      <w:start w:val="1"/>
      <w:numFmt w:val="decimal"/>
      <w:lvlText w:val="%1.%2.%3."/>
      <w:lvlJc w:val="left"/>
      <w:pPr>
        <w:ind w:left="1701" w:hanging="805"/>
      </w:pPr>
      <w:rPr>
        <w:rFonts w:hint="default"/>
      </w:rPr>
    </w:lvl>
    <w:lvl w:ilvl="3">
      <w:start w:val="1"/>
      <w:numFmt w:val="none"/>
      <w:lvlText w:val=""/>
      <w:lvlJc w:val="left"/>
      <w:pPr>
        <w:ind w:left="357" w:hanging="357"/>
      </w:pPr>
      <w:rPr>
        <w:rFonts w:hint="default"/>
      </w:rPr>
    </w:lvl>
    <w:lvl w:ilvl="4">
      <w:start w:val="1"/>
      <w:numFmt w:val="none"/>
      <w:lvlText w:val=""/>
      <w:lvlJc w:val="left"/>
      <w:pPr>
        <w:ind w:left="357" w:hanging="357"/>
      </w:pPr>
      <w:rPr>
        <w:rFonts w:hint="default"/>
      </w:rPr>
    </w:lvl>
    <w:lvl w:ilvl="5">
      <w:start w:val="1"/>
      <w:numFmt w:val="none"/>
      <w:lvlText w:val=""/>
      <w:lvlJc w:val="left"/>
      <w:pPr>
        <w:ind w:left="357" w:hanging="357"/>
      </w:pPr>
      <w:rPr>
        <w:rFonts w:hint="default"/>
      </w:rPr>
    </w:lvl>
    <w:lvl w:ilvl="6">
      <w:start w:val="1"/>
      <w:numFmt w:val="none"/>
      <w:lvlText w:val=""/>
      <w:lvlJc w:val="left"/>
      <w:pPr>
        <w:ind w:left="357" w:hanging="357"/>
      </w:pPr>
      <w:rPr>
        <w:rFonts w:hint="default"/>
      </w:rPr>
    </w:lvl>
    <w:lvl w:ilvl="7">
      <w:start w:val="1"/>
      <w:numFmt w:val="none"/>
      <w:lvlText w:val=""/>
      <w:lvlJc w:val="left"/>
      <w:pPr>
        <w:ind w:left="357" w:hanging="357"/>
      </w:pPr>
      <w:rPr>
        <w:rFonts w:hint="default"/>
      </w:rPr>
    </w:lvl>
    <w:lvl w:ilvl="8">
      <w:start w:val="1"/>
      <w:numFmt w:val="none"/>
      <w:lvlText w:val=""/>
      <w:lvlJc w:val="left"/>
      <w:pPr>
        <w:ind w:left="357" w:hanging="357"/>
      </w:pPr>
      <w:rPr>
        <w:rFonts w:hint="default"/>
      </w:rPr>
    </w:lvl>
  </w:abstractNum>
  <w:abstractNum w:abstractNumId="17" w15:restartNumberingAfterBreak="0">
    <w:nsid w:val="690E0A04"/>
    <w:multiLevelType w:val="multilevel"/>
    <w:tmpl w:val="3C9EF466"/>
    <w:lvl w:ilvl="0">
      <w:start w:val="1"/>
      <w:numFmt w:val="decimal"/>
      <w:lvlText w:val="%1."/>
      <w:lvlJc w:val="left"/>
      <w:pPr>
        <w:ind w:left="851" w:hanging="851"/>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851" w:hanging="85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18" w15:restartNumberingAfterBreak="0">
    <w:nsid w:val="6E5E56D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2951EA2"/>
    <w:multiLevelType w:val="multilevel"/>
    <w:tmpl w:val="B5CE2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2934944">
    <w:abstractNumId w:val="3"/>
  </w:num>
  <w:num w:numId="2" w16cid:durableId="840243988">
    <w:abstractNumId w:val="18"/>
  </w:num>
  <w:num w:numId="3" w16cid:durableId="1464469858">
    <w:abstractNumId w:val="12"/>
  </w:num>
  <w:num w:numId="4" w16cid:durableId="4404828">
    <w:abstractNumId w:val="16"/>
  </w:num>
  <w:num w:numId="5" w16cid:durableId="1771469117">
    <w:abstractNumId w:val="2"/>
  </w:num>
  <w:num w:numId="6" w16cid:durableId="2068917743">
    <w:abstractNumId w:val="15"/>
  </w:num>
  <w:num w:numId="7" w16cid:durableId="1581478890">
    <w:abstractNumId w:val="5"/>
  </w:num>
  <w:num w:numId="8" w16cid:durableId="287205176">
    <w:abstractNumId w:val="17"/>
  </w:num>
  <w:num w:numId="9" w16cid:durableId="973680064">
    <w:abstractNumId w:val="4"/>
  </w:num>
  <w:num w:numId="10" w16cid:durableId="2082679595">
    <w:abstractNumId w:val="13"/>
  </w:num>
  <w:num w:numId="11" w16cid:durableId="1638337265">
    <w:abstractNumId w:val="9"/>
  </w:num>
  <w:num w:numId="12" w16cid:durableId="489059473">
    <w:abstractNumId w:val="8"/>
  </w:num>
  <w:num w:numId="13" w16cid:durableId="720328650">
    <w:abstractNumId w:val="10"/>
  </w:num>
  <w:num w:numId="14" w16cid:durableId="1487892849">
    <w:abstractNumId w:val="1"/>
  </w:num>
  <w:num w:numId="15" w16cid:durableId="1852791403">
    <w:abstractNumId w:val="0"/>
  </w:num>
  <w:num w:numId="16" w16cid:durableId="1601336601">
    <w:abstractNumId w:val="7"/>
  </w:num>
  <w:num w:numId="17" w16cid:durableId="1887373936">
    <w:abstractNumId w:val="6"/>
  </w:num>
  <w:num w:numId="18" w16cid:durableId="1503155221">
    <w:abstractNumId w:val="11"/>
  </w:num>
  <w:num w:numId="19" w16cid:durableId="1666741578">
    <w:abstractNumId w:val="14"/>
  </w:num>
  <w:num w:numId="20" w16cid:durableId="199120828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B31"/>
    <w:rsid w:val="0004019E"/>
    <w:rsid w:val="000A1E39"/>
    <w:rsid w:val="000C425D"/>
    <w:rsid w:val="000E7326"/>
    <w:rsid w:val="001260A5"/>
    <w:rsid w:val="00156D07"/>
    <w:rsid w:val="00197C4E"/>
    <w:rsid w:val="001C4C42"/>
    <w:rsid w:val="00212DA7"/>
    <w:rsid w:val="002211B1"/>
    <w:rsid w:val="00256A50"/>
    <w:rsid w:val="00260495"/>
    <w:rsid w:val="00267E32"/>
    <w:rsid w:val="00274DD8"/>
    <w:rsid w:val="0028191A"/>
    <w:rsid w:val="0030033F"/>
    <w:rsid w:val="003073B1"/>
    <w:rsid w:val="003403D7"/>
    <w:rsid w:val="003B5112"/>
    <w:rsid w:val="003B5658"/>
    <w:rsid w:val="003C0140"/>
    <w:rsid w:val="003C213D"/>
    <w:rsid w:val="003F02B0"/>
    <w:rsid w:val="003F4D16"/>
    <w:rsid w:val="00410A41"/>
    <w:rsid w:val="0044518F"/>
    <w:rsid w:val="00461021"/>
    <w:rsid w:val="004665A7"/>
    <w:rsid w:val="004B66E5"/>
    <w:rsid w:val="004C7455"/>
    <w:rsid w:val="004D6B36"/>
    <w:rsid w:val="005305F9"/>
    <w:rsid w:val="0054288F"/>
    <w:rsid w:val="00592098"/>
    <w:rsid w:val="005A46C2"/>
    <w:rsid w:val="005A5FAE"/>
    <w:rsid w:val="005D55A5"/>
    <w:rsid w:val="005F3D9C"/>
    <w:rsid w:val="005F7CD6"/>
    <w:rsid w:val="00631584"/>
    <w:rsid w:val="00647FBE"/>
    <w:rsid w:val="00683D42"/>
    <w:rsid w:val="006F5165"/>
    <w:rsid w:val="007413E6"/>
    <w:rsid w:val="00764CC9"/>
    <w:rsid w:val="00771FDB"/>
    <w:rsid w:val="00796230"/>
    <w:rsid w:val="007C5DEB"/>
    <w:rsid w:val="007D66FC"/>
    <w:rsid w:val="007F4F51"/>
    <w:rsid w:val="008023D8"/>
    <w:rsid w:val="00815B6C"/>
    <w:rsid w:val="00826529"/>
    <w:rsid w:val="0084317B"/>
    <w:rsid w:val="00904B18"/>
    <w:rsid w:val="0090572F"/>
    <w:rsid w:val="00912243"/>
    <w:rsid w:val="00933497"/>
    <w:rsid w:val="0096500F"/>
    <w:rsid w:val="009870A7"/>
    <w:rsid w:val="00996010"/>
    <w:rsid w:val="009B1F2C"/>
    <w:rsid w:val="009D060F"/>
    <w:rsid w:val="009F6EF7"/>
    <w:rsid w:val="00A00B68"/>
    <w:rsid w:val="00A17A62"/>
    <w:rsid w:val="00A30841"/>
    <w:rsid w:val="00A53A29"/>
    <w:rsid w:val="00A600CB"/>
    <w:rsid w:val="00AD1D77"/>
    <w:rsid w:val="00AF04C0"/>
    <w:rsid w:val="00AF6F9E"/>
    <w:rsid w:val="00B36740"/>
    <w:rsid w:val="00B57500"/>
    <w:rsid w:val="00B60E1E"/>
    <w:rsid w:val="00B8017D"/>
    <w:rsid w:val="00B82020"/>
    <w:rsid w:val="00B84134"/>
    <w:rsid w:val="00BB66C8"/>
    <w:rsid w:val="00BD78EE"/>
    <w:rsid w:val="00C2222D"/>
    <w:rsid w:val="00C429CD"/>
    <w:rsid w:val="00C51EF5"/>
    <w:rsid w:val="00C71A65"/>
    <w:rsid w:val="00C97985"/>
    <w:rsid w:val="00CA0DFE"/>
    <w:rsid w:val="00CB7F26"/>
    <w:rsid w:val="00CC22FB"/>
    <w:rsid w:val="00CC481E"/>
    <w:rsid w:val="00D35CA0"/>
    <w:rsid w:val="00D46B9C"/>
    <w:rsid w:val="00DA02BA"/>
    <w:rsid w:val="00DA5DA9"/>
    <w:rsid w:val="00DE11BB"/>
    <w:rsid w:val="00E13CF0"/>
    <w:rsid w:val="00E54D23"/>
    <w:rsid w:val="00E56462"/>
    <w:rsid w:val="00E904E3"/>
    <w:rsid w:val="00EA7C80"/>
    <w:rsid w:val="00EE16C6"/>
    <w:rsid w:val="00EF2B31"/>
    <w:rsid w:val="00F522A7"/>
    <w:rsid w:val="00F62410"/>
    <w:rsid w:val="00F826B6"/>
    <w:rsid w:val="00F8281C"/>
    <w:rsid w:val="00F943B6"/>
    <w:rsid w:val="00F948D3"/>
    <w:rsid w:val="00F97BEC"/>
    <w:rsid w:val="00FF3F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E9572"/>
  <w15:chartTrackingRefBased/>
  <w15:docId w15:val="{3095F1C6-A190-4794-AB83-EC0C54571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annotation text"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5"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5"/>
    <w:lsdException w:name="List Bullet 3" w:uiPriority="15"/>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49" w:qFormat="1"/>
    <w:lsdException w:name="Closing" w:semiHidden="1" w:unhideWhenUsed="1"/>
    <w:lsdException w:name="Signature" w:semiHidden="1" w:unhideWhenUsed="1"/>
    <w:lsdException w:name="Default Paragraph Font" w:semiHidden="1" w:uiPriority="1" w:unhideWhenUsed="1"/>
    <w:lsdException w:name="Body Text" w:semiHidden="1" w:uiPriority="14"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4"/>
    <w:qFormat/>
    <w:rsid w:val="00E904E3"/>
    <w:pPr>
      <w:spacing w:after="0" w:line="240" w:lineRule="auto"/>
    </w:pPr>
    <w:rPr>
      <w:sz w:val="24"/>
    </w:rPr>
  </w:style>
  <w:style w:type="paragraph" w:styleId="Heading1">
    <w:name w:val="heading 1"/>
    <w:basedOn w:val="BaseHeading"/>
    <w:next w:val="BodyText"/>
    <w:link w:val="Heading1Char"/>
    <w:uiPriority w:val="9"/>
    <w:qFormat/>
    <w:rsid w:val="0084317B"/>
    <w:pPr>
      <w:spacing w:before="240"/>
      <w:outlineLvl w:val="0"/>
    </w:pPr>
    <w:rPr>
      <w:rFonts w:eastAsiaTheme="majorEastAsia" w:cstheme="majorBidi"/>
      <w:b/>
      <w:bCs/>
      <w:sz w:val="36"/>
      <w:szCs w:val="36"/>
    </w:rPr>
  </w:style>
  <w:style w:type="paragraph" w:styleId="Heading2">
    <w:name w:val="heading 2"/>
    <w:basedOn w:val="BaseHeading"/>
    <w:next w:val="BodyText"/>
    <w:link w:val="Heading2Char"/>
    <w:uiPriority w:val="9"/>
    <w:unhideWhenUsed/>
    <w:qFormat/>
    <w:rsid w:val="0084317B"/>
    <w:pPr>
      <w:spacing w:before="40"/>
      <w:outlineLvl w:val="1"/>
    </w:pPr>
    <w:rPr>
      <w:rFonts w:eastAsiaTheme="majorEastAsia" w:cstheme="majorBidi"/>
      <w:b/>
      <w:bCs/>
      <w:sz w:val="32"/>
      <w:szCs w:val="32"/>
    </w:rPr>
  </w:style>
  <w:style w:type="paragraph" w:styleId="Heading3">
    <w:name w:val="heading 3"/>
    <w:basedOn w:val="BaseHeading"/>
    <w:next w:val="BodyText"/>
    <w:link w:val="Heading3Char"/>
    <w:uiPriority w:val="9"/>
    <w:unhideWhenUsed/>
    <w:qFormat/>
    <w:rsid w:val="0084317B"/>
    <w:pPr>
      <w:spacing w:before="40"/>
      <w:outlineLvl w:val="2"/>
    </w:pPr>
    <w:rPr>
      <w:rFonts w:eastAsiaTheme="majorEastAsia" w:cstheme="majorBidi"/>
      <w:sz w:val="28"/>
      <w:szCs w:val="28"/>
    </w:rPr>
  </w:style>
  <w:style w:type="paragraph" w:styleId="Heading4">
    <w:name w:val="heading 4"/>
    <w:basedOn w:val="BaseHeading"/>
    <w:next w:val="BodyText"/>
    <w:link w:val="Heading4Char"/>
    <w:uiPriority w:val="9"/>
    <w:semiHidden/>
    <w:qFormat/>
    <w:rsid w:val="006F5165"/>
    <w:pPr>
      <w:spacing w:before="40"/>
      <w:outlineLvl w:val="3"/>
    </w:pPr>
    <w:rPr>
      <w:rFonts w:eastAsiaTheme="majorEastAsia" w:cstheme="majorBidi"/>
      <w:color w:val="200649" w:themeColor="accent1"/>
    </w:rPr>
  </w:style>
  <w:style w:type="paragraph" w:styleId="Heading5">
    <w:name w:val="heading 5"/>
    <w:basedOn w:val="BaseHeading"/>
    <w:next w:val="BodyText"/>
    <w:link w:val="Heading5Char"/>
    <w:uiPriority w:val="9"/>
    <w:semiHidden/>
    <w:qFormat/>
    <w:rsid w:val="006F5165"/>
    <w:pPr>
      <w:spacing w:before="40"/>
      <w:outlineLvl w:val="4"/>
    </w:pPr>
    <w:rPr>
      <w:rFonts w:eastAsiaTheme="majorEastAsia" w:cstheme="majorBidi"/>
      <w:color w:val="200649"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BaseText"/>
    <w:link w:val="BodyTextChar"/>
    <w:uiPriority w:val="14"/>
    <w:unhideWhenUsed/>
    <w:qFormat/>
    <w:rsid w:val="0084317B"/>
  </w:style>
  <w:style w:type="character" w:customStyle="1" w:styleId="BodyTextChar">
    <w:name w:val="Body Text Char"/>
    <w:basedOn w:val="DefaultParagraphFont"/>
    <w:link w:val="BodyText"/>
    <w:uiPriority w:val="14"/>
    <w:rsid w:val="0084317B"/>
    <w:rPr>
      <w:sz w:val="24"/>
    </w:rPr>
  </w:style>
  <w:style w:type="character" w:customStyle="1" w:styleId="Heading1Char">
    <w:name w:val="Heading 1 Char"/>
    <w:basedOn w:val="DefaultParagraphFont"/>
    <w:link w:val="Heading1"/>
    <w:uiPriority w:val="9"/>
    <w:rsid w:val="0084317B"/>
    <w:rPr>
      <w:rFonts w:asciiTheme="majorHAnsi" w:eastAsiaTheme="majorEastAsia" w:hAnsiTheme="majorHAnsi" w:cstheme="majorBidi"/>
      <w:b/>
      <w:bCs/>
      <w:color w:val="200649" w:themeColor="text2"/>
      <w:sz w:val="36"/>
      <w:szCs w:val="36"/>
    </w:rPr>
  </w:style>
  <w:style w:type="character" w:customStyle="1" w:styleId="Heading2Char">
    <w:name w:val="Heading 2 Char"/>
    <w:basedOn w:val="DefaultParagraphFont"/>
    <w:link w:val="Heading2"/>
    <w:uiPriority w:val="9"/>
    <w:rsid w:val="0084317B"/>
    <w:rPr>
      <w:rFonts w:asciiTheme="majorHAnsi" w:eastAsiaTheme="majorEastAsia" w:hAnsiTheme="majorHAnsi" w:cstheme="majorBidi"/>
      <w:b/>
      <w:bCs/>
      <w:color w:val="200649" w:themeColor="text2"/>
      <w:sz w:val="32"/>
      <w:szCs w:val="32"/>
    </w:rPr>
  </w:style>
  <w:style w:type="character" w:customStyle="1" w:styleId="Heading3Char">
    <w:name w:val="Heading 3 Char"/>
    <w:basedOn w:val="DefaultParagraphFont"/>
    <w:link w:val="Heading3"/>
    <w:uiPriority w:val="9"/>
    <w:rsid w:val="0084317B"/>
    <w:rPr>
      <w:rFonts w:asciiTheme="majorHAnsi" w:eastAsiaTheme="majorEastAsia" w:hAnsiTheme="majorHAnsi" w:cstheme="majorBidi"/>
      <w:color w:val="200649" w:themeColor="text2"/>
      <w:sz w:val="28"/>
      <w:szCs w:val="28"/>
    </w:rPr>
  </w:style>
  <w:style w:type="character" w:customStyle="1" w:styleId="Heading4Char">
    <w:name w:val="Heading 4 Char"/>
    <w:basedOn w:val="DefaultParagraphFont"/>
    <w:link w:val="Heading4"/>
    <w:uiPriority w:val="9"/>
    <w:semiHidden/>
    <w:rsid w:val="0004019E"/>
    <w:rPr>
      <w:rFonts w:asciiTheme="majorHAnsi" w:eastAsiaTheme="majorEastAsia" w:hAnsiTheme="majorHAnsi" w:cstheme="majorBidi"/>
      <w:color w:val="200649" w:themeColor="accent1"/>
    </w:rPr>
  </w:style>
  <w:style w:type="paragraph" w:styleId="Title">
    <w:name w:val="Title"/>
    <w:basedOn w:val="BaseHeading"/>
    <w:next w:val="Subtitle"/>
    <w:link w:val="TitleChar"/>
    <w:uiPriority w:val="37"/>
    <w:qFormat/>
    <w:rsid w:val="00E54D23"/>
    <w:pPr>
      <w:contextualSpacing/>
    </w:pPr>
    <w:rPr>
      <w:rFonts w:eastAsiaTheme="majorEastAsia" w:cstheme="majorBidi"/>
      <w:sz w:val="56"/>
      <w:szCs w:val="56"/>
    </w:rPr>
  </w:style>
  <w:style w:type="character" w:customStyle="1" w:styleId="TitleChar">
    <w:name w:val="Title Char"/>
    <w:basedOn w:val="DefaultParagraphFont"/>
    <w:link w:val="Title"/>
    <w:uiPriority w:val="37"/>
    <w:rsid w:val="0028191A"/>
    <w:rPr>
      <w:rFonts w:asciiTheme="majorHAnsi" w:eastAsiaTheme="majorEastAsia" w:hAnsiTheme="majorHAnsi" w:cstheme="majorBidi"/>
      <w:color w:val="200649" w:themeColor="text2"/>
      <w:sz w:val="56"/>
      <w:szCs w:val="56"/>
    </w:rPr>
  </w:style>
  <w:style w:type="paragraph" w:styleId="Subtitle">
    <w:name w:val="Subtitle"/>
    <w:basedOn w:val="BaseHeading"/>
    <w:next w:val="BodyText"/>
    <w:link w:val="SubtitleChar"/>
    <w:uiPriority w:val="38"/>
    <w:semiHidden/>
    <w:qFormat/>
    <w:rsid w:val="00E54D23"/>
    <w:pPr>
      <w:numPr>
        <w:ilvl w:val="1"/>
      </w:numPr>
      <w:spacing w:after="160"/>
    </w:pPr>
    <w:rPr>
      <w:rFonts w:eastAsiaTheme="minorEastAsia"/>
      <w:color w:val="5A5A5A" w:themeColor="text1" w:themeTint="A5"/>
    </w:rPr>
  </w:style>
  <w:style w:type="character" w:customStyle="1" w:styleId="SubtitleChar">
    <w:name w:val="Subtitle Char"/>
    <w:basedOn w:val="DefaultParagraphFont"/>
    <w:link w:val="Subtitle"/>
    <w:uiPriority w:val="38"/>
    <w:semiHidden/>
    <w:rsid w:val="007F4F51"/>
    <w:rPr>
      <w:rFonts w:asciiTheme="majorHAnsi" w:eastAsiaTheme="minorEastAsia" w:hAnsiTheme="majorHAnsi"/>
      <w:color w:val="5A5A5A" w:themeColor="text1" w:themeTint="A5"/>
    </w:rPr>
  </w:style>
  <w:style w:type="paragraph" w:customStyle="1" w:styleId="BaseStyle">
    <w:name w:val="___Base Style"/>
    <w:semiHidden/>
    <w:rsid w:val="00E54D23"/>
    <w:pPr>
      <w:spacing w:after="0" w:line="276" w:lineRule="auto"/>
    </w:pPr>
  </w:style>
  <w:style w:type="paragraph" w:customStyle="1" w:styleId="BaseTable">
    <w:name w:val="___Base Table"/>
    <w:semiHidden/>
    <w:rsid w:val="00E54D23"/>
  </w:style>
  <w:style w:type="paragraph" w:customStyle="1" w:styleId="BaseText">
    <w:name w:val="__Base Text"/>
    <w:basedOn w:val="BaseStyle"/>
    <w:semiHidden/>
    <w:rsid w:val="0004019E"/>
    <w:pPr>
      <w:spacing w:line="240" w:lineRule="auto"/>
    </w:pPr>
    <w:rPr>
      <w:sz w:val="24"/>
    </w:rPr>
  </w:style>
  <w:style w:type="paragraph" w:customStyle="1" w:styleId="BaseHeading">
    <w:name w:val="__Base Heading"/>
    <w:basedOn w:val="BaseStyle"/>
    <w:next w:val="BodyText"/>
    <w:semiHidden/>
    <w:rsid w:val="0004019E"/>
    <w:pPr>
      <w:keepNext/>
      <w:keepLines/>
      <w:spacing w:line="240" w:lineRule="auto"/>
    </w:pPr>
    <w:rPr>
      <w:rFonts w:asciiTheme="majorHAnsi" w:hAnsiTheme="majorHAnsi"/>
      <w:color w:val="200649" w:themeColor="text2"/>
    </w:rPr>
  </w:style>
  <w:style w:type="table" w:customStyle="1" w:styleId="Plain">
    <w:name w:val="Plain"/>
    <w:basedOn w:val="TableNormal"/>
    <w:rsid w:val="00AD1D77"/>
    <w:pPr>
      <w:spacing w:after="0" w:line="240" w:lineRule="auto"/>
    </w:pPr>
    <w:tblPr>
      <w:tblCellMar>
        <w:left w:w="0" w:type="dxa"/>
        <w:right w:w="0" w:type="dxa"/>
      </w:tblCellMar>
    </w:tblPr>
    <w:tcPr>
      <w:shd w:val="clear" w:color="auto" w:fill="auto"/>
      <w:tcMar>
        <w:left w:w="0" w:type="dxa"/>
        <w:right w:w="0" w:type="dxa"/>
      </w:tcMar>
    </w:tcPr>
  </w:style>
  <w:style w:type="paragraph" w:customStyle="1" w:styleId="1ptspacer">
    <w:name w:val="__1pt spacer"/>
    <w:basedOn w:val="BaseStyle"/>
    <w:next w:val="BodyText"/>
    <w:semiHidden/>
    <w:rsid w:val="00E54D23"/>
    <w:pPr>
      <w:spacing w:line="20" w:lineRule="exact"/>
    </w:pPr>
    <w:rPr>
      <w:sz w:val="2"/>
    </w:rPr>
  </w:style>
  <w:style w:type="paragraph" w:customStyle="1" w:styleId="Placeholder">
    <w:name w:val="__Placeholder"/>
    <w:basedOn w:val="BaseText"/>
    <w:next w:val="BodyText"/>
    <w:semiHidden/>
    <w:rsid w:val="00E54D23"/>
    <w:pPr>
      <w:jc w:val="center"/>
    </w:pPr>
  </w:style>
  <w:style w:type="paragraph" w:customStyle="1" w:styleId="TableSpaceAfter">
    <w:name w:val="__TableSpaceAfter"/>
    <w:basedOn w:val="BaseStyle"/>
    <w:next w:val="BodyText"/>
    <w:semiHidden/>
    <w:rsid w:val="00E54D23"/>
    <w:pPr>
      <w:spacing w:line="20" w:lineRule="exact"/>
    </w:pPr>
    <w:rPr>
      <w:sz w:val="2"/>
    </w:rPr>
  </w:style>
  <w:style w:type="paragraph" w:styleId="ListBullet">
    <w:name w:val="List Bullet"/>
    <w:basedOn w:val="BodyText"/>
    <w:uiPriority w:val="15"/>
    <w:unhideWhenUsed/>
    <w:qFormat/>
    <w:rsid w:val="007C5DEB"/>
    <w:pPr>
      <w:numPr>
        <w:numId w:val="3"/>
      </w:numPr>
    </w:pPr>
  </w:style>
  <w:style w:type="paragraph" w:customStyle="1" w:styleId="TableText">
    <w:name w:val="Table Text"/>
    <w:basedOn w:val="BaseTable"/>
    <w:uiPriority w:val="20"/>
    <w:qFormat/>
    <w:rsid w:val="00E54D23"/>
  </w:style>
  <w:style w:type="character" w:styleId="BookTitle">
    <w:name w:val="Book Title"/>
    <w:basedOn w:val="DefaultParagraphFont"/>
    <w:uiPriority w:val="33"/>
    <w:semiHidden/>
    <w:qFormat/>
    <w:rsid w:val="00E54D23"/>
    <w:rPr>
      <w:b/>
      <w:bCs/>
      <w:i/>
      <w:iCs/>
      <w:spacing w:val="5"/>
    </w:rPr>
  </w:style>
  <w:style w:type="character" w:styleId="Emphasis">
    <w:name w:val="Emphasis"/>
    <w:basedOn w:val="DefaultParagraphFont"/>
    <w:uiPriority w:val="20"/>
    <w:semiHidden/>
    <w:qFormat/>
    <w:rsid w:val="00E54D23"/>
    <w:rPr>
      <w:i/>
      <w:iCs/>
    </w:rPr>
  </w:style>
  <w:style w:type="character" w:styleId="IntenseEmphasis">
    <w:name w:val="Intense Emphasis"/>
    <w:basedOn w:val="DefaultParagraphFont"/>
    <w:uiPriority w:val="21"/>
    <w:semiHidden/>
    <w:qFormat/>
    <w:rsid w:val="00E54D23"/>
    <w:rPr>
      <w:i/>
      <w:iCs/>
      <w:color w:val="200649" w:themeColor="accent1"/>
    </w:rPr>
  </w:style>
  <w:style w:type="paragraph" w:styleId="IntenseQuote">
    <w:name w:val="Intense Quote"/>
    <w:basedOn w:val="Normal"/>
    <w:next w:val="Normal"/>
    <w:link w:val="IntenseQuoteChar"/>
    <w:uiPriority w:val="30"/>
    <w:semiHidden/>
    <w:qFormat/>
    <w:rsid w:val="00E54D23"/>
    <w:pPr>
      <w:pBdr>
        <w:top w:val="single" w:sz="4" w:space="10" w:color="200649" w:themeColor="accent1"/>
        <w:bottom w:val="single" w:sz="4" w:space="10" w:color="200649" w:themeColor="accent1"/>
      </w:pBdr>
      <w:spacing w:before="360" w:after="360"/>
      <w:ind w:left="864" w:right="864"/>
      <w:jc w:val="center"/>
    </w:pPr>
    <w:rPr>
      <w:i/>
      <w:iCs/>
      <w:color w:val="200649" w:themeColor="accent1"/>
    </w:rPr>
  </w:style>
  <w:style w:type="character" w:customStyle="1" w:styleId="IntenseQuoteChar">
    <w:name w:val="Intense Quote Char"/>
    <w:basedOn w:val="DefaultParagraphFont"/>
    <w:link w:val="IntenseQuote"/>
    <w:uiPriority w:val="30"/>
    <w:rsid w:val="00E54D23"/>
    <w:rPr>
      <w:i/>
      <w:iCs/>
      <w:color w:val="200649" w:themeColor="accent1"/>
    </w:rPr>
  </w:style>
  <w:style w:type="character" w:styleId="IntenseReference">
    <w:name w:val="Intense Reference"/>
    <w:basedOn w:val="DefaultParagraphFont"/>
    <w:uiPriority w:val="32"/>
    <w:semiHidden/>
    <w:qFormat/>
    <w:rsid w:val="00E54D23"/>
    <w:rPr>
      <w:b/>
      <w:bCs/>
      <w:smallCaps/>
      <w:color w:val="200649" w:themeColor="accent1"/>
      <w:spacing w:val="5"/>
    </w:rPr>
  </w:style>
  <w:style w:type="paragraph" w:styleId="ListParagraph">
    <w:name w:val="List Paragraph"/>
    <w:basedOn w:val="Normal"/>
    <w:uiPriority w:val="34"/>
    <w:semiHidden/>
    <w:qFormat/>
    <w:rsid w:val="00E54D23"/>
    <w:pPr>
      <w:ind w:left="720"/>
      <w:contextualSpacing/>
    </w:pPr>
  </w:style>
  <w:style w:type="paragraph" w:styleId="NoSpacing">
    <w:name w:val="No Spacing"/>
    <w:uiPriority w:val="1"/>
    <w:semiHidden/>
    <w:qFormat/>
    <w:rsid w:val="00E54D23"/>
    <w:pPr>
      <w:spacing w:after="0" w:line="240" w:lineRule="auto"/>
    </w:pPr>
  </w:style>
  <w:style w:type="paragraph" w:styleId="Quote">
    <w:name w:val="Quote"/>
    <w:basedOn w:val="Normal"/>
    <w:next w:val="Normal"/>
    <w:link w:val="QuoteChar"/>
    <w:uiPriority w:val="29"/>
    <w:semiHidden/>
    <w:qFormat/>
    <w:rsid w:val="00E54D2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54D23"/>
    <w:rPr>
      <w:i/>
      <w:iCs/>
      <w:color w:val="404040" w:themeColor="text1" w:themeTint="BF"/>
    </w:rPr>
  </w:style>
  <w:style w:type="character" w:styleId="Strong">
    <w:name w:val="Strong"/>
    <w:basedOn w:val="DefaultParagraphFont"/>
    <w:uiPriority w:val="22"/>
    <w:semiHidden/>
    <w:qFormat/>
    <w:rsid w:val="00E54D23"/>
    <w:rPr>
      <w:b/>
      <w:bCs/>
    </w:rPr>
  </w:style>
  <w:style w:type="character" w:styleId="SubtleEmphasis">
    <w:name w:val="Subtle Emphasis"/>
    <w:basedOn w:val="DefaultParagraphFont"/>
    <w:uiPriority w:val="19"/>
    <w:semiHidden/>
    <w:qFormat/>
    <w:rsid w:val="00E54D23"/>
    <w:rPr>
      <w:i/>
      <w:iCs/>
      <w:color w:val="404040" w:themeColor="text1" w:themeTint="BF"/>
    </w:rPr>
  </w:style>
  <w:style w:type="character" w:styleId="SubtleReference">
    <w:name w:val="Subtle Reference"/>
    <w:basedOn w:val="DefaultParagraphFont"/>
    <w:uiPriority w:val="31"/>
    <w:semiHidden/>
    <w:qFormat/>
    <w:rsid w:val="00E54D23"/>
    <w:rPr>
      <w:smallCaps/>
      <w:color w:val="5A5A5A" w:themeColor="text1" w:themeTint="A5"/>
    </w:rPr>
  </w:style>
  <w:style w:type="numbering" w:customStyle="1" w:styleId="ListBullets">
    <w:name w:val="__List Bullets"/>
    <w:rsid w:val="007C5DEB"/>
    <w:pPr>
      <w:numPr>
        <w:numId w:val="3"/>
      </w:numPr>
    </w:pPr>
  </w:style>
  <w:style w:type="numbering" w:customStyle="1" w:styleId="ListNumbers">
    <w:name w:val="__List Numbers"/>
    <w:rsid w:val="007F4F51"/>
    <w:pPr>
      <w:numPr>
        <w:numId w:val="4"/>
      </w:numPr>
    </w:pPr>
  </w:style>
  <w:style w:type="paragraph" w:styleId="ListNumber">
    <w:name w:val="List Number"/>
    <w:basedOn w:val="BodyText"/>
    <w:uiPriority w:val="15"/>
    <w:rsid w:val="007F4F51"/>
    <w:pPr>
      <w:numPr>
        <w:numId w:val="17"/>
      </w:numPr>
    </w:pPr>
  </w:style>
  <w:style w:type="table" w:customStyle="1" w:styleId="MaximusTable">
    <w:name w:val="_Maximus Table"/>
    <w:basedOn w:val="TableNormal"/>
    <w:uiPriority w:val="99"/>
    <w:rsid w:val="0084317B"/>
    <w:pPr>
      <w:spacing w:before="60" w:after="60" w:line="240" w:lineRule="auto"/>
      <w:ind w:left="113" w:right="113"/>
    </w:pPr>
    <w:rPr>
      <w:sz w:val="26"/>
      <w:szCs w:val="20"/>
    </w:rPr>
    <w:tblPr>
      <w:tblStyleRow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Pr>
    <w:tcPr>
      <w:vAlign w:val="center"/>
    </w:tcPr>
    <w:tblStylePr w:type="firstRow">
      <w:pPr>
        <w:wordWrap/>
        <w:spacing w:beforeLines="0" w:before="60" w:beforeAutospacing="0" w:afterLines="0" w:after="60" w:afterAutospacing="0" w:line="240" w:lineRule="auto"/>
        <w:ind w:leftChars="0" w:left="113" w:rightChars="0" w:right="113" w:firstLineChars="0" w:firstLine="0"/>
        <w:contextualSpacing w:val="0"/>
        <w:mirrorIndents w:val="0"/>
        <w:jc w:val="left"/>
      </w:pPr>
      <w:rPr>
        <w:b/>
        <w:color w:val="FFFFFF" w:themeColor="background1"/>
      </w:rPr>
      <w:tblPr/>
      <w:tcPr>
        <w:tcBorders>
          <w:top w:val="nil"/>
          <w:left w:val="single" w:sz="4" w:space="0" w:color="BFBFBF"/>
          <w:bottom w:val="single" w:sz="4" w:space="0" w:color="BFBFBF"/>
          <w:right w:val="single" w:sz="4" w:space="0" w:color="BFBFBF"/>
          <w:insideV w:val="single" w:sz="4" w:space="0" w:color="BFBFBF"/>
        </w:tcBorders>
        <w:shd w:val="clear" w:color="auto" w:fill="200649" w:themeFill="accent1"/>
      </w:tcPr>
    </w:tblStylePr>
    <w:tblStylePr w:type="lastRow">
      <w:rPr>
        <w:b/>
        <w:i w:val="0"/>
        <w:color w:val="000000" w:themeColor="text1"/>
      </w:rPr>
      <w:tblPr/>
      <w:tcPr>
        <w:tcBorders>
          <w:top w:val="single" w:sz="4" w:space="0" w:color="200649" w:themeColor="text2"/>
          <w:bottom w:val="single" w:sz="4" w:space="0" w:color="200649" w:themeColor="text2"/>
        </w:tcBorders>
      </w:tcPr>
    </w:tblStylePr>
    <w:tblStylePr w:type="firstCol">
      <w:pPr>
        <w:jc w:val="left"/>
      </w:pPr>
    </w:tblStylePr>
    <w:tblStylePr w:type="band1Horz">
      <w:pPr>
        <w:jc w:val="left"/>
      </w:pPr>
      <w:rPr>
        <w:color w:val="000000" w:themeColor="text1"/>
      </w:rPr>
      <w:tblPr/>
      <w:tcPr>
        <w:tcBorders>
          <w:top w:val="single" w:sz="4" w:space="0" w:color="BFBFBF"/>
          <w:left w:val="single" w:sz="4" w:space="0" w:color="BFBFBF"/>
          <w:bottom w:val="single" w:sz="4" w:space="0" w:color="BFBFBF"/>
          <w:right w:val="single" w:sz="4" w:space="0" w:color="BFBFBF"/>
          <w:insideH w:val="nil"/>
          <w:insideV w:val="single" w:sz="4" w:space="0" w:color="BFBFBF"/>
          <w:tl2br w:val="nil"/>
          <w:tr2bl w:val="nil"/>
        </w:tcBorders>
        <w:shd w:val="clear" w:color="auto" w:fill="F2F2F2"/>
      </w:tcPr>
    </w:tblStylePr>
    <w:tblStylePr w:type="band2Horz">
      <w:pPr>
        <w:jc w:val="left"/>
      </w:pPr>
      <w:rPr>
        <w:color w:val="000000" w:themeColor="text1"/>
      </w:rPr>
      <w:tblPr/>
      <w:tcPr>
        <w:tcBorders>
          <w:bottom w:val="single" w:sz="4" w:space="0" w:color="808080" w:themeColor="background1" w:themeShade="80"/>
        </w:tcBorders>
        <w:shd w:val="clear" w:color="auto" w:fill="FDFDFD"/>
      </w:tcPr>
    </w:tblStylePr>
  </w:style>
  <w:style w:type="paragraph" w:styleId="Caption">
    <w:name w:val="caption"/>
    <w:basedOn w:val="Normal"/>
    <w:next w:val="Normal"/>
    <w:uiPriority w:val="35"/>
    <w:unhideWhenUsed/>
    <w:qFormat/>
    <w:rsid w:val="0084317B"/>
    <w:rPr>
      <w:b/>
      <w:iCs/>
      <w:color w:val="000000" w:themeColor="text1"/>
      <w:szCs w:val="18"/>
    </w:rPr>
  </w:style>
  <w:style w:type="character" w:customStyle="1" w:styleId="Accent1">
    <w:name w:val="Accent 1"/>
    <w:basedOn w:val="DefaultParagraphFont"/>
    <w:uiPriority w:val="36"/>
    <w:semiHidden/>
    <w:qFormat/>
    <w:rsid w:val="0090572F"/>
    <w:rPr>
      <w:color w:val="200649" w:themeColor="accent1"/>
    </w:rPr>
  </w:style>
  <w:style w:type="character" w:customStyle="1" w:styleId="Accent2">
    <w:name w:val="Accent 2"/>
    <w:basedOn w:val="DefaultParagraphFont"/>
    <w:uiPriority w:val="36"/>
    <w:semiHidden/>
    <w:qFormat/>
    <w:rsid w:val="00274DD8"/>
    <w:rPr>
      <w:color w:val="9F7FC9" w:themeColor="accent2"/>
    </w:rPr>
  </w:style>
  <w:style w:type="character" w:customStyle="1" w:styleId="Accent3">
    <w:name w:val="Accent 3"/>
    <w:basedOn w:val="DefaultParagraphFont"/>
    <w:uiPriority w:val="36"/>
    <w:semiHidden/>
    <w:qFormat/>
    <w:rsid w:val="00274DD8"/>
    <w:rPr>
      <w:color w:val="6277B9" w:themeColor="accent3"/>
    </w:rPr>
  </w:style>
  <w:style w:type="character" w:customStyle="1" w:styleId="Accent4">
    <w:name w:val="Accent 4"/>
    <w:basedOn w:val="DefaultParagraphFont"/>
    <w:uiPriority w:val="36"/>
    <w:semiHidden/>
    <w:qFormat/>
    <w:rsid w:val="00274DD8"/>
    <w:rPr>
      <w:color w:val="7EBE63" w:themeColor="accent4"/>
    </w:rPr>
  </w:style>
  <w:style w:type="character" w:customStyle="1" w:styleId="Accent5">
    <w:name w:val="Accent 5"/>
    <w:basedOn w:val="DefaultParagraphFont"/>
    <w:uiPriority w:val="36"/>
    <w:semiHidden/>
    <w:qFormat/>
    <w:rsid w:val="00274DD8"/>
    <w:rPr>
      <w:color w:val="502E91" w:themeColor="accent5"/>
    </w:rPr>
  </w:style>
  <w:style w:type="character" w:customStyle="1" w:styleId="Accent6">
    <w:name w:val="Accent 6"/>
    <w:basedOn w:val="DefaultParagraphFont"/>
    <w:uiPriority w:val="36"/>
    <w:semiHidden/>
    <w:qFormat/>
    <w:rsid w:val="00274DD8"/>
    <w:rPr>
      <w:color w:val="9CABD7" w:themeColor="accent6"/>
    </w:rPr>
  </w:style>
  <w:style w:type="paragraph" w:customStyle="1" w:styleId="BaseSECTION">
    <w:name w:val="__Base SECTION"/>
    <w:basedOn w:val="BaseText"/>
    <w:next w:val="BodyText"/>
    <w:semiHidden/>
    <w:rsid w:val="00631584"/>
    <w:pPr>
      <w:spacing w:line="160" w:lineRule="exact"/>
    </w:pPr>
    <w:rPr>
      <w:color w:val="0000FF"/>
      <w:sz w:val="16"/>
      <w:szCs w:val="20"/>
    </w:rPr>
  </w:style>
  <w:style w:type="paragraph" w:customStyle="1" w:styleId="LinkedPH">
    <w:name w:val="__Linked PH"/>
    <w:basedOn w:val="TableText"/>
    <w:semiHidden/>
    <w:rsid w:val="00631584"/>
    <w:pPr>
      <w:spacing w:before="120" w:after="0" w:line="20" w:lineRule="exact"/>
      <w:ind w:right="113"/>
    </w:pPr>
    <w:rPr>
      <w:sz w:val="2"/>
      <w:szCs w:val="20"/>
    </w:rPr>
  </w:style>
  <w:style w:type="paragraph" w:customStyle="1" w:styleId="SECTION2Column">
    <w:name w:val="__SECTION 2Column"/>
    <w:basedOn w:val="BaseSECTION"/>
    <w:next w:val="BodyText"/>
    <w:semiHidden/>
    <w:rsid w:val="00631584"/>
  </w:style>
  <w:style w:type="paragraph" w:customStyle="1" w:styleId="SECTION3Column">
    <w:name w:val="__SECTION 3Column"/>
    <w:basedOn w:val="BaseSECTION"/>
    <w:next w:val="BodyText"/>
    <w:semiHidden/>
    <w:rsid w:val="00631584"/>
  </w:style>
  <w:style w:type="paragraph" w:customStyle="1" w:styleId="SECTIONBackCover">
    <w:name w:val="__SECTION BackCover"/>
    <w:basedOn w:val="BaseSECTION"/>
    <w:next w:val="BodyText"/>
    <w:semiHidden/>
    <w:rsid w:val="00631584"/>
  </w:style>
  <w:style w:type="paragraph" w:customStyle="1" w:styleId="SECTIONCover">
    <w:name w:val="__SECTION Cover"/>
    <w:basedOn w:val="BaseSECTION"/>
    <w:next w:val="BodyText"/>
    <w:semiHidden/>
    <w:rsid w:val="00631584"/>
  </w:style>
  <w:style w:type="paragraph" w:customStyle="1" w:styleId="SECTIONFullWidth">
    <w:name w:val="__SECTION FullWidth"/>
    <w:basedOn w:val="BaseSECTION"/>
    <w:next w:val="BodyText"/>
    <w:semiHidden/>
    <w:rsid w:val="00631584"/>
  </w:style>
  <w:style w:type="paragraph" w:customStyle="1" w:styleId="SECTIONLandscape">
    <w:name w:val="__SECTION Landscape"/>
    <w:basedOn w:val="BaseSECTION"/>
    <w:next w:val="BodyText"/>
    <w:semiHidden/>
    <w:rsid w:val="00631584"/>
  </w:style>
  <w:style w:type="paragraph" w:customStyle="1" w:styleId="SECTIONMargin">
    <w:name w:val="__SECTION Margin"/>
    <w:basedOn w:val="BaseSECTION"/>
    <w:next w:val="BodyText"/>
    <w:semiHidden/>
    <w:rsid w:val="00631584"/>
  </w:style>
  <w:style w:type="paragraph" w:customStyle="1" w:styleId="SECTIONToC">
    <w:name w:val="__SECTION ToC"/>
    <w:basedOn w:val="BaseSECTION"/>
    <w:next w:val="BodyText"/>
    <w:semiHidden/>
    <w:rsid w:val="00631584"/>
  </w:style>
  <w:style w:type="paragraph" w:customStyle="1" w:styleId="SECTIONDivider">
    <w:name w:val="__SECTION Divider"/>
    <w:basedOn w:val="BaseSECTION"/>
    <w:next w:val="BodyText"/>
    <w:semiHidden/>
    <w:rsid w:val="00631584"/>
  </w:style>
  <w:style w:type="paragraph" w:customStyle="1" w:styleId="TombstoneText">
    <w:name w:val="Tombstone Text"/>
    <w:basedOn w:val="BaseText"/>
    <w:uiPriority w:val="21"/>
    <w:semiHidden/>
    <w:rsid w:val="00CC22FB"/>
    <w:pPr>
      <w:spacing w:before="120" w:after="120"/>
      <w:ind w:left="113" w:right="113"/>
    </w:pPr>
    <w:rPr>
      <w:rFonts w:cstheme="minorHAnsi"/>
      <w:color w:val="000000" w:themeColor="text1"/>
      <w:sz w:val="16"/>
      <w:szCs w:val="24"/>
    </w:rPr>
  </w:style>
  <w:style w:type="paragraph" w:customStyle="1" w:styleId="TombstoneHeading">
    <w:name w:val="Tombstone Heading"/>
    <w:basedOn w:val="TombstoneText"/>
    <w:next w:val="TombstoneText"/>
    <w:uiPriority w:val="21"/>
    <w:semiHidden/>
    <w:rsid w:val="00631584"/>
    <w:rPr>
      <w:b/>
      <w:sz w:val="18"/>
      <w:szCs w:val="28"/>
    </w:rPr>
  </w:style>
  <w:style w:type="character" w:customStyle="1" w:styleId="Heading5Char">
    <w:name w:val="Heading 5 Char"/>
    <w:basedOn w:val="DefaultParagraphFont"/>
    <w:link w:val="Heading5"/>
    <w:uiPriority w:val="9"/>
    <w:semiHidden/>
    <w:rsid w:val="0004019E"/>
    <w:rPr>
      <w:rFonts w:asciiTheme="majorHAnsi" w:eastAsiaTheme="majorEastAsia" w:hAnsiTheme="majorHAnsi" w:cstheme="majorBidi"/>
      <w:color w:val="200649" w:themeColor="accent1"/>
    </w:rPr>
  </w:style>
  <w:style w:type="paragraph" w:styleId="ListBullet2">
    <w:name w:val="List Bullet 2"/>
    <w:basedOn w:val="Normal"/>
    <w:uiPriority w:val="15"/>
    <w:rsid w:val="007C5DEB"/>
    <w:pPr>
      <w:numPr>
        <w:ilvl w:val="1"/>
        <w:numId w:val="3"/>
      </w:numPr>
      <w:contextualSpacing/>
    </w:pPr>
  </w:style>
  <w:style w:type="paragraph" w:styleId="ListBullet3">
    <w:name w:val="List Bullet 3"/>
    <w:basedOn w:val="Normal"/>
    <w:uiPriority w:val="15"/>
    <w:rsid w:val="007C5DEB"/>
    <w:pPr>
      <w:numPr>
        <w:ilvl w:val="2"/>
        <w:numId w:val="3"/>
      </w:numPr>
      <w:contextualSpacing/>
    </w:pPr>
  </w:style>
  <w:style w:type="paragraph" w:styleId="FootnoteText">
    <w:name w:val="footnote text"/>
    <w:basedOn w:val="Normal"/>
    <w:link w:val="FootnoteTextChar"/>
    <w:uiPriority w:val="99"/>
    <w:semiHidden/>
    <w:rsid w:val="007F4F51"/>
    <w:rPr>
      <w:sz w:val="20"/>
      <w:szCs w:val="20"/>
    </w:rPr>
  </w:style>
  <w:style w:type="character" w:customStyle="1" w:styleId="FootnoteTextChar">
    <w:name w:val="Footnote Text Char"/>
    <w:basedOn w:val="DefaultParagraphFont"/>
    <w:link w:val="FootnoteText"/>
    <w:uiPriority w:val="99"/>
    <w:semiHidden/>
    <w:rsid w:val="00E904E3"/>
    <w:rPr>
      <w:sz w:val="20"/>
      <w:szCs w:val="20"/>
      <w:lang w:val="en-US"/>
    </w:rPr>
  </w:style>
  <w:style w:type="paragraph" w:styleId="Footer">
    <w:name w:val="footer"/>
    <w:basedOn w:val="Normal"/>
    <w:link w:val="FooterChar"/>
    <w:uiPriority w:val="99"/>
    <w:semiHidden/>
    <w:rsid w:val="007F4F51"/>
    <w:pPr>
      <w:tabs>
        <w:tab w:val="center" w:pos="4513"/>
        <w:tab w:val="right" w:pos="9026"/>
      </w:tabs>
    </w:pPr>
    <w:rPr>
      <w:sz w:val="16"/>
      <w:szCs w:val="14"/>
    </w:rPr>
  </w:style>
  <w:style w:type="character" w:customStyle="1" w:styleId="FooterChar">
    <w:name w:val="Footer Char"/>
    <w:basedOn w:val="DefaultParagraphFont"/>
    <w:link w:val="Footer"/>
    <w:uiPriority w:val="99"/>
    <w:semiHidden/>
    <w:rsid w:val="00E904E3"/>
    <w:rPr>
      <w:sz w:val="16"/>
      <w:szCs w:val="14"/>
      <w:lang w:val="en-US"/>
    </w:rPr>
  </w:style>
  <w:style w:type="paragraph" w:styleId="Header">
    <w:name w:val="header"/>
    <w:basedOn w:val="Normal"/>
    <w:link w:val="HeaderChar"/>
    <w:uiPriority w:val="99"/>
    <w:semiHidden/>
    <w:rsid w:val="007F4F51"/>
    <w:pPr>
      <w:tabs>
        <w:tab w:val="center" w:pos="4513"/>
        <w:tab w:val="right" w:pos="9026"/>
      </w:tabs>
    </w:pPr>
    <w:rPr>
      <w:sz w:val="16"/>
    </w:rPr>
  </w:style>
  <w:style w:type="character" w:customStyle="1" w:styleId="HeaderChar">
    <w:name w:val="Header Char"/>
    <w:basedOn w:val="DefaultParagraphFont"/>
    <w:link w:val="Header"/>
    <w:uiPriority w:val="99"/>
    <w:semiHidden/>
    <w:rsid w:val="00E904E3"/>
    <w:rPr>
      <w:sz w:val="16"/>
      <w:lang w:val="en-US"/>
    </w:rPr>
  </w:style>
  <w:style w:type="paragraph" w:styleId="EndnoteText">
    <w:name w:val="endnote text"/>
    <w:basedOn w:val="Normal"/>
    <w:link w:val="EndnoteTextChar"/>
    <w:uiPriority w:val="99"/>
    <w:semiHidden/>
    <w:rsid w:val="007F4F51"/>
    <w:rPr>
      <w:sz w:val="20"/>
      <w:szCs w:val="20"/>
    </w:rPr>
  </w:style>
  <w:style w:type="character" w:customStyle="1" w:styleId="EndnoteTextChar">
    <w:name w:val="Endnote Text Char"/>
    <w:basedOn w:val="DefaultParagraphFont"/>
    <w:link w:val="EndnoteText"/>
    <w:uiPriority w:val="99"/>
    <w:semiHidden/>
    <w:rsid w:val="00E904E3"/>
    <w:rPr>
      <w:sz w:val="20"/>
      <w:szCs w:val="20"/>
      <w:lang w:val="en-US"/>
    </w:rPr>
  </w:style>
  <w:style w:type="table" w:styleId="TableGrid">
    <w:name w:val="Table Grid"/>
    <w:basedOn w:val="TableNormal"/>
    <w:uiPriority w:val="39"/>
    <w:rsid w:val="00AD1D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60E1E"/>
    <w:pPr>
      <w:spacing w:after="120"/>
      <w:outlineLvl w:val="9"/>
    </w:pPr>
    <w:rPr>
      <w:lang w:val="en-US"/>
    </w:rPr>
  </w:style>
  <w:style w:type="paragraph" w:styleId="TOC1">
    <w:name w:val="toc 1"/>
    <w:basedOn w:val="Normal"/>
    <w:next w:val="Normal"/>
    <w:autoRedefine/>
    <w:uiPriority w:val="39"/>
    <w:unhideWhenUsed/>
    <w:rsid w:val="00410A41"/>
    <w:pPr>
      <w:spacing w:after="100"/>
    </w:pPr>
    <w:rPr>
      <w:b/>
    </w:rPr>
  </w:style>
  <w:style w:type="paragraph" w:styleId="TOC2">
    <w:name w:val="toc 2"/>
    <w:basedOn w:val="Normal"/>
    <w:next w:val="Normal"/>
    <w:autoRedefine/>
    <w:uiPriority w:val="39"/>
    <w:unhideWhenUsed/>
    <w:rsid w:val="00410A41"/>
    <w:pPr>
      <w:spacing w:after="100"/>
      <w:ind w:left="240"/>
    </w:pPr>
  </w:style>
  <w:style w:type="paragraph" w:styleId="TOC3">
    <w:name w:val="toc 3"/>
    <w:basedOn w:val="Normal"/>
    <w:next w:val="Normal"/>
    <w:autoRedefine/>
    <w:uiPriority w:val="39"/>
    <w:unhideWhenUsed/>
    <w:rsid w:val="0084317B"/>
    <w:pPr>
      <w:spacing w:after="100"/>
      <w:ind w:left="480"/>
    </w:pPr>
  </w:style>
  <w:style w:type="character" w:styleId="Hyperlink">
    <w:name w:val="Hyperlink"/>
    <w:basedOn w:val="DefaultParagraphFont"/>
    <w:uiPriority w:val="99"/>
    <w:unhideWhenUsed/>
    <w:rsid w:val="0084317B"/>
    <w:rPr>
      <w:color w:val="9F7FC9" w:themeColor="hyperlink"/>
      <w:u w:val="single"/>
    </w:rPr>
  </w:style>
  <w:style w:type="character" w:styleId="UnresolvedMention">
    <w:name w:val="Unresolved Mention"/>
    <w:basedOn w:val="DefaultParagraphFont"/>
    <w:uiPriority w:val="99"/>
    <w:semiHidden/>
    <w:unhideWhenUsed/>
    <w:rsid w:val="00EF2B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89244">
      <w:bodyDiv w:val="1"/>
      <w:marLeft w:val="0"/>
      <w:marRight w:val="0"/>
      <w:marTop w:val="0"/>
      <w:marBottom w:val="0"/>
      <w:divBdr>
        <w:top w:val="none" w:sz="0" w:space="0" w:color="auto"/>
        <w:left w:val="none" w:sz="0" w:space="0" w:color="auto"/>
        <w:bottom w:val="none" w:sz="0" w:space="0" w:color="auto"/>
        <w:right w:val="none" w:sz="0" w:space="0" w:color="auto"/>
      </w:divBdr>
    </w:div>
    <w:div w:id="201946220">
      <w:bodyDiv w:val="1"/>
      <w:marLeft w:val="0"/>
      <w:marRight w:val="0"/>
      <w:marTop w:val="0"/>
      <w:marBottom w:val="0"/>
      <w:divBdr>
        <w:top w:val="none" w:sz="0" w:space="0" w:color="auto"/>
        <w:left w:val="none" w:sz="0" w:space="0" w:color="auto"/>
        <w:bottom w:val="none" w:sz="0" w:space="0" w:color="auto"/>
        <w:right w:val="none" w:sz="0" w:space="0" w:color="auto"/>
      </w:divBdr>
    </w:div>
    <w:div w:id="206531889">
      <w:bodyDiv w:val="1"/>
      <w:marLeft w:val="0"/>
      <w:marRight w:val="0"/>
      <w:marTop w:val="0"/>
      <w:marBottom w:val="0"/>
      <w:divBdr>
        <w:top w:val="none" w:sz="0" w:space="0" w:color="auto"/>
        <w:left w:val="none" w:sz="0" w:space="0" w:color="auto"/>
        <w:bottom w:val="none" w:sz="0" w:space="0" w:color="auto"/>
        <w:right w:val="none" w:sz="0" w:space="0" w:color="auto"/>
      </w:divBdr>
    </w:div>
    <w:div w:id="215358839">
      <w:bodyDiv w:val="1"/>
      <w:marLeft w:val="0"/>
      <w:marRight w:val="0"/>
      <w:marTop w:val="0"/>
      <w:marBottom w:val="0"/>
      <w:divBdr>
        <w:top w:val="none" w:sz="0" w:space="0" w:color="auto"/>
        <w:left w:val="none" w:sz="0" w:space="0" w:color="auto"/>
        <w:bottom w:val="none" w:sz="0" w:space="0" w:color="auto"/>
        <w:right w:val="none" w:sz="0" w:space="0" w:color="auto"/>
      </w:divBdr>
    </w:div>
    <w:div w:id="442773637">
      <w:bodyDiv w:val="1"/>
      <w:marLeft w:val="0"/>
      <w:marRight w:val="0"/>
      <w:marTop w:val="0"/>
      <w:marBottom w:val="0"/>
      <w:divBdr>
        <w:top w:val="none" w:sz="0" w:space="0" w:color="auto"/>
        <w:left w:val="none" w:sz="0" w:space="0" w:color="auto"/>
        <w:bottom w:val="none" w:sz="0" w:space="0" w:color="auto"/>
        <w:right w:val="none" w:sz="0" w:space="0" w:color="auto"/>
      </w:divBdr>
    </w:div>
    <w:div w:id="450129089">
      <w:bodyDiv w:val="1"/>
      <w:marLeft w:val="0"/>
      <w:marRight w:val="0"/>
      <w:marTop w:val="0"/>
      <w:marBottom w:val="0"/>
      <w:divBdr>
        <w:top w:val="none" w:sz="0" w:space="0" w:color="auto"/>
        <w:left w:val="none" w:sz="0" w:space="0" w:color="auto"/>
        <w:bottom w:val="none" w:sz="0" w:space="0" w:color="auto"/>
        <w:right w:val="none" w:sz="0" w:space="0" w:color="auto"/>
      </w:divBdr>
    </w:div>
    <w:div w:id="453016836">
      <w:bodyDiv w:val="1"/>
      <w:marLeft w:val="0"/>
      <w:marRight w:val="0"/>
      <w:marTop w:val="0"/>
      <w:marBottom w:val="0"/>
      <w:divBdr>
        <w:top w:val="none" w:sz="0" w:space="0" w:color="auto"/>
        <w:left w:val="none" w:sz="0" w:space="0" w:color="auto"/>
        <w:bottom w:val="none" w:sz="0" w:space="0" w:color="auto"/>
        <w:right w:val="none" w:sz="0" w:space="0" w:color="auto"/>
      </w:divBdr>
    </w:div>
    <w:div w:id="582568325">
      <w:bodyDiv w:val="1"/>
      <w:marLeft w:val="0"/>
      <w:marRight w:val="0"/>
      <w:marTop w:val="0"/>
      <w:marBottom w:val="0"/>
      <w:divBdr>
        <w:top w:val="none" w:sz="0" w:space="0" w:color="auto"/>
        <w:left w:val="none" w:sz="0" w:space="0" w:color="auto"/>
        <w:bottom w:val="none" w:sz="0" w:space="0" w:color="auto"/>
        <w:right w:val="none" w:sz="0" w:space="0" w:color="auto"/>
      </w:divBdr>
    </w:div>
    <w:div w:id="587006600">
      <w:bodyDiv w:val="1"/>
      <w:marLeft w:val="0"/>
      <w:marRight w:val="0"/>
      <w:marTop w:val="0"/>
      <w:marBottom w:val="0"/>
      <w:divBdr>
        <w:top w:val="none" w:sz="0" w:space="0" w:color="auto"/>
        <w:left w:val="none" w:sz="0" w:space="0" w:color="auto"/>
        <w:bottom w:val="none" w:sz="0" w:space="0" w:color="auto"/>
        <w:right w:val="none" w:sz="0" w:space="0" w:color="auto"/>
      </w:divBdr>
    </w:div>
    <w:div w:id="623345492">
      <w:bodyDiv w:val="1"/>
      <w:marLeft w:val="0"/>
      <w:marRight w:val="0"/>
      <w:marTop w:val="0"/>
      <w:marBottom w:val="0"/>
      <w:divBdr>
        <w:top w:val="none" w:sz="0" w:space="0" w:color="auto"/>
        <w:left w:val="none" w:sz="0" w:space="0" w:color="auto"/>
        <w:bottom w:val="none" w:sz="0" w:space="0" w:color="auto"/>
        <w:right w:val="none" w:sz="0" w:space="0" w:color="auto"/>
      </w:divBdr>
    </w:div>
    <w:div w:id="698240791">
      <w:bodyDiv w:val="1"/>
      <w:marLeft w:val="0"/>
      <w:marRight w:val="0"/>
      <w:marTop w:val="0"/>
      <w:marBottom w:val="0"/>
      <w:divBdr>
        <w:top w:val="none" w:sz="0" w:space="0" w:color="auto"/>
        <w:left w:val="none" w:sz="0" w:space="0" w:color="auto"/>
        <w:bottom w:val="none" w:sz="0" w:space="0" w:color="auto"/>
        <w:right w:val="none" w:sz="0" w:space="0" w:color="auto"/>
      </w:divBdr>
    </w:div>
    <w:div w:id="778911200">
      <w:bodyDiv w:val="1"/>
      <w:marLeft w:val="0"/>
      <w:marRight w:val="0"/>
      <w:marTop w:val="0"/>
      <w:marBottom w:val="0"/>
      <w:divBdr>
        <w:top w:val="none" w:sz="0" w:space="0" w:color="auto"/>
        <w:left w:val="none" w:sz="0" w:space="0" w:color="auto"/>
        <w:bottom w:val="none" w:sz="0" w:space="0" w:color="auto"/>
        <w:right w:val="none" w:sz="0" w:space="0" w:color="auto"/>
      </w:divBdr>
    </w:div>
    <w:div w:id="808326979">
      <w:bodyDiv w:val="1"/>
      <w:marLeft w:val="0"/>
      <w:marRight w:val="0"/>
      <w:marTop w:val="0"/>
      <w:marBottom w:val="0"/>
      <w:divBdr>
        <w:top w:val="none" w:sz="0" w:space="0" w:color="auto"/>
        <w:left w:val="none" w:sz="0" w:space="0" w:color="auto"/>
        <w:bottom w:val="none" w:sz="0" w:space="0" w:color="auto"/>
        <w:right w:val="none" w:sz="0" w:space="0" w:color="auto"/>
      </w:divBdr>
    </w:div>
    <w:div w:id="892958794">
      <w:bodyDiv w:val="1"/>
      <w:marLeft w:val="0"/>
      <w:marRight w:val="0"/>
      <w:marTop w:val="0"/>
      <w:marBottom w:val="0"/>
      <w:divBdr>
        <w:top w:val="none" w:sz="0" w:space="0" w:color="auto"/>
        <w:left w:val="none" w:sz="0" w:space="0" w:color="auto"/>
        <w:bottom w:val="none" w:sz="0" w:space="0" w:color="auto"/>
        <w:right w:val="none" w:sz="0" w:space="0" w:color="auto"/>
      </w:divBdr>
    </w:div>
    <w:div w:id="918100291">
      <w:bodyDiv w:val="1"/>
      <w:marLeft w:val="0"/>
      <w:marRight w:val="0"/>
      <w:marTop w:val="0"/>
      <w:marBottom w:val="0"/>
      <w:divBdr>
        <w:top w:val="none" w:sz="0" w:space="0" w:color="auto"/>
        <w:left w:val="none" w:sz="0" w:space="0" w:color="auto"/>
        <w:bottom w:val="none" w:sz="0" w:space="0" w:color="auto"/>
        <w:right w:val="none" w:sz="0" w:space="0" w:color="auto"/>
      </w:divBdr>
    </w:div>
    <w:div w:id="1030182844">
      <w:bodyDiv w:val="1"/>
      <w:marLeft w:val="0"/>
      <w:marRight w:val="0"/>
      <w:marTop w:val="0"/>
      <w:marBottom w:val="0"/>
      <w:divBdr>
        <w:top w:val="none" w:sz="0" w:space="0" w:color="auto"/>
        <w:left w:val="none" w:sz="0" w:space="0" w:color="auto"/>
        <w:bottom w:val="none" w:sz="0" w:space="0" w:color="auto"/>
        <w:right w:val="none" w:sz="0" w:space="0" w:color="auto"/>
      </w:divBdr>
    </w:div>
    <w:div w:id="1036200324">
      <w:bodyDiv w:val="1"/>
      <w:marLeft w:val="0"/>
      <w:marRight w:val="0"/>
      <w:marTop w:val="0"/>
      <w:marBottom w:val="0"/>
      <w:divBdr>
        <w:top w:val="none" w:sz="0" w:space="0" w:color="auto"/>
        <w:left w:val="none" w:sz="0" w:space="0" w:color="auto"/>
        <w:bottom w:val="none" w:sz="0" w:space="0" w:color="auto"/>
        <w:right w:val="none" w:sz="0" w:space="0" w:color="auto"/>
      </w:divBdr>
    </w:div>
    <w:div w:id="1045644196">
      <w:bodyDiv w:val="1"/>
      <w:marLeft w:val="0"/>
      <w:marRight w:val="0"/>
      <w:marTop w:val="0"/>
      <w:marBottom w:val="0"/>
      <w:divBdr>
        <w:top w:val="none" w:sz="0" w:space="0" w:color="auto"/>
        <w:left w:val="none" w:sz="0" w:space="0" w:color="auto"/>
        <w:bottom w:val="none" w:sz="0" w:space="0" w:color="auto"/>
        <w:right w:val="none" w:sz="0" w:space="0" w:color="auto"/>
      </w:divBdr>
    </w:div>
    <w:div w:id="1095902217">
      <w:bodyDiv w:val="1"/>
      <w:marLeft w:val="0"/>
      <w:marRight w:val="0"/>
      <w:marTop w:val="0"/>
      <w:marBottom w:val="0"/>
      <w:divBdr>
        <w:top w:val="none" w:sz="0" w:space="0" w:color="auto"/>
        <w:left w:val="none" w:sz="0" w:space="0" w:color="auto"/>
        <w:bottom w:val="none" w:sz="0" w:space="0" w:color="auto"/>
        <w:right w:val="none" w:sz="0" w:space="0" w:color="auto"/>
      </w:divBdr>
    </w:div>
    <w:div w:id="1224294931">
      <w:bodyDiv w:val="1"/>
      <w:marLeft w:val="0"/>
      <w:marRight w:val="0"/>
      <w:marTop w:val="0"/>
      <w:marBottom w:val="0"/>
      <w:divBdr>
        <w:top w:val="none" w:sz="0" w:space="0" w:color="auto"/>
        <w:left w:val="none" w:sz="0" w:space="0" w:color="auto"/>
        <w:bottom w:val="none" w:sz="0" w:space="0" w:color="auto"/>
        <w:right w:val="none" w:sz="0" w:space="0" w:color="auto"/>
      </w:divBdr>
    </w:div>
    <w:div w:id="1266035132">
      <w:bodyDiv w:val="1"/>
      <w:marLeft w:val="0"/>
      <w:marRight w:val="0"/>
      <w:marTop w:val="0"/>
      <w:marBottom w:val="0"/>
      <w:divBdr>
        <w:top w:val="none" w:sz="0" w:space="0" w:color="auto"/>
        <w:left w:val="none" w:sz="0" w:space="0" w:color="auto"/>
        <w:bottom w:val="none" w:sz="0" w:space="0" w:color="auto"/>
        <w:right w:val="none" w:sz="0" w:space="0" w:color="auto"/>
      </w:divBdr>
    </w:div>
    <w:div w:id="1276908356">
      <w:bodyDiv w:val="1"/>
      <w:marLeft w:val="0"/>
      <w:marRight w:val="0"/>
      <w:marTop w:val="0"/>
      <w:marBottom w:val="0"/>
      <w:divBdr>
        <w:top w:val="none" w:sz="0" w:space="0" w:color="auto"/>
        <w:left w:val="none" w:sz="0" w:space="0" w:color="auto"/>
        <w:bottom w:val="none" w:sz="0" w:space="0" w:color="auto"/>
        <w:right w:val="none" w:sz="0" w:space="0" w:color="auto"/>
      </w:divBdr>
    </w:div>
    <w:div w:id="1289581296">
      <w:bodyDiv w:val="1"/>
      <w:marLeft w:val="0"/>
      <w:marRight w:val="0"/>
      <w:marTop w:val="0"/>
      <w:marBottom w:val="0"/>
      <w:divBdr>
        <w:top w:val="none" w:sz="0" w:space="0" w:color="auto"/>
        <w:left w:val="none" w:sz="0" w:space="0" w:color="auto"/>
        <w:bottom w:val="none" w:sz="0" w:space="0" w:color="auto"/>
        <w:right w:val="none" w:sz="0" w:space="0" w:color="auto"/>
      </w:divBdr>
    </w:div>
    <w:div w:id="1309284408">
      <w:bodyDiv w:val="1"/>
      <w:marLeft w:val="0"/>
      <w:marRight w:val="0"/>
      <w:marTop w:val="0"/>
      <w:marBottom w:val="0"/>
      <w:divBdr>
        <w:top w:val="none" w:sz="0" w:space="0" w:color="auto"/>
        <w:left w:val="none" w:sz="0" w:space="0" w:color="auto"/>
        <w:bottom w:val="none" w:sz="0" w:space="0" w:color="auto"/>
        <w:right w:val="none" w:sz="0" w:space="0" w:color="auto"/>
      </w:divBdr>
    </w:div>
    <w:div w:id="1394616513">
      <w:bodyDiv w:val="1"/>
      <w:marLeft w:val="0"/>
      <w:marRight w:val="0"/>
      <w:marTop w:val="0"/>
      <w:marBottom w:val="0"/>
      <w:divBdr>
        <w:top w:val="none" w:sz="0" w:space="0" w:color="auto"/>
        <w:left w:val="none" w:sz="0" w:space="0" w:color="auto"/>
        <w:bottom w:val="none" w:sz="0" w:space="0" w:color="auto"/>
        <w:right w:val="none" w:sz="0" w:space="0" w:color="auto"/>
      </w:divBdr>
    </w:div>
    <w:div w:id="1459834984">
      <w:bodyDiv w:val="1"/>
      <w:marLeft w:val="0"/>
      <w:marRight w:val="0"/>
      <w:marTop w:val="0"/>
      <w:marBottom w:val="0"/>
      <w:divBdr>
        <w:top w:val="none" w:sz="0" w:space="0" w:color="auto"/>
        <w:left w:val="none" w:sz="0" w:space="0" w:color="auto"/>
        <w:bottom w:val="none" w:sz="0" w:space="0" w:color="auto"/>
        <w:right w:val="none" w:sz="0" w:space="0" w:color="auto"/>
      </w:divBdr>
    </w:div>
    <w:div w:id="1498688735">
      <w:bodyDiv w:val="1"/>
      <w:marLeft w:val="0"/>
      <w:marRight w:val="0"/>
      <w:marTop w:val="0"/>
      <w:marBottom w:val="0"/>
      <w:divBdr>
        <w:top w:val="none" w:sz="0" w:space="0" w:color="auto"/>
        <w:left w:val="none" w:sz="0" w:space="0" w:color="auto"/>
        <w:bottom w:val="none" w:sz="0" w:space="0" w:color="auto"/>
        <w:right w:val="none" w:sz="0" w:space="0" w:color="auto"/>
      </w:divBdr>
    </w:div>
    <w:div w:id="1578592296">
      <w:bodyDiv w:val="1"/>
      <w:marLeft w:val="0"/>
      <w:marRight w:val="0"/>
      <w:marTop w:val="0"/>
      <w:marBottom w:val="0"/>
      <w:divBdr>
        <w:top w:val="none" w:sz="0" w:space="0" w:color="auto"/>
        <w:left w:val="none" w:sz="0" w:space="0" w:color="auto"/>
        <w:bottom w:val="none" w:sz="0" w:space="0" w:color="auto"/>
        <w:right w:val="none" w:sz="0" w:space="0" w:color="auto"/>
      </w:divBdr>
    </w:div>
    <w:div w:id="1600869705">
      <w:bodyDiv w:val="1"/>
      <w:marLeft w:val="0"/>
      <w:marRight w:val="0"/>
      <w:marTop w:val="0"/>
      <w:marBottom w:val="0"/>
      <w:divBdr>
        <w:top w:val="none" w:sz="0" w:space="0" w:color="auto"/>
        <w:left w:val="none" w:sz="0" w:space="0" w:color="auto"/>
        <w:bottom w:val="none" w:sz="0" w:space="0" w:color="auto"/>
        <w:right w:val="none" w:sz="0" w:space="0" w:color="auto"/>
      </w:divBdr>
    </w:div>
    <w:div w:id="1742866708">
      <w:bodyDiv w:val="1"/>
      <w:marLeft w:val="0"/>
      <w:marRight w:val="0"/>
      <w:marTop w:val="0"/>
      <w:marBottom w:val="0"/>
      <w:divBdr>
        <w:top w:val="none" w:sz="0" w:space="0" w:color="auto"/>
        <w:left w:val="none" w:sz="0" w:space="0" w:color="auto"/>
        <w:bottom w:val="none" w:sz="0" w:space="0" w:color="auto"/>
        <w:right w:val="none" w:sz="0" w:space="0" w:color="auto"/>
      </w:divBdr>
    </w:div>
    <w:div w:id="1765371974">
      <w:bodyDiv w:val="1"/>
      <w:marLeft w:val="0"/>
      <w:marRight w:val="0"/>
      <w:marTop w:val="0"/>
      <w:marBottom w:val="0"/>
      <w:divBdr>
        <w:top w:val="none" w:sz="0" w:space="0" w:color="auto"/>
        <w:left w:val="none" w:sz="0" w:space="0" w:color="auto"/>
        <w:bottom w:val="none" w:sz="0" w:space="0" w:color="auto"/>
        <w:right w:val="none" w:sz="0" w:space="0" w:color="auto"/>
      </w:divBdr>
    </w:div>
    <w:div w:id="1791706863">
      <w:bodyDiv w:val="1"/>
      <w:marLeft w:val="0"/>
      <w:marRight w:val="0"/>
      <w:marTop w:val="0"/>
      <w:marBottom w:val="0"/>
      <w:divBdr>
        <w:top w:val="none" w:sz="0" w:space="0" w:color="auto"/>
        <w:left w:val="none" w:sz="0" w:space="0" w:color="auto"/>
        <w:bottom w:val="none" w:sz="0" w:space="0" w:color="auto"/>
        <w:right w:val="none" w:sz="0" w:space="0" w:color="auto"/>
      </w:divBdr>
    </w:div>
    <w:div w:id="1802848128">
      <w:bodyDiv w:val="1"/>
      <w:marLeft w:val="0"/>
      <w:marRight w:val="0"/>
      <w:marTop w:val="0"/>
      <w:marBottom w:val="0"/>
      <w:divBdr>
        <w:top w:val="none" w:sz="0" w:space="0" w:color="auto"/>
        <w:left w:val="none" w:sz="0" w:space="0" w:color="auto"/>
        <w:bottom w:val="none" w:sz="0" w:space="0" w:color="auto"/>
        <w:right w:val="none" w:sz="0" w:space="0" w:color="auto"/>
      </w:divBdr>
    </w:div>
    <w:div w:id="1827554885">
      <w:bodyDiv w:val="1"/>
      <w:marLeft w:val="0"/>
      <w:marRight w:val="0"/>
      <w:marTop w:val="0"/>
      <w:marBottom w:val="0"/>
      <w:divBdr>
        <w:top w:val="none" w:sz="0" w:space="0" w:color="auto"/>
        <w:left w:val="none" w:sz="0" w:space="0" w:color="auto"/>
        <w:bottom w:val="none" w:sz="0" w:space="0" w:color="auto"/>
        <w:right w:val="none" w:sz="0" w:space="0" w:color="auto"/>
      </w:divBdr>
    </w:div>
    <w:div w:id="1827626794">
      <w:bodyDiv w:val="1"/>
      <w:marLeft w:val="0"/>
      <w:marRight w:val="0"/>
      <w:marTop w:val="0"/>
      <w:marBottom w:val="0"/>
      <w:divBdr>
        <w:top w:val="none" w:sz="0" w:space="0" w:color="auto"/>
        <w:left w:val="none" w:sz="0" w:space="0" w:color="auto"/>
        <w:bottom w:val="none" w:sz="0" w:space="0" w:color="auto"/>
        <w:right w:val="none" w:sz="0" w:space="0" w:color="auto"/>
      </w:divBdr>
    </w:div>
    <w:div w:id="1873226020">
      <w:bodyDiv w:val="1"/>
      <w:marLeft w:val="0"/>
      <w:marRight w:val="0"/>
      <w:marTop w:val="0"/>
      <w:marBottom w:val="0"/>
      <w:divBdr>
        <w:top w:val="none" w:sz="0" w:space="0" w:color="auto"/>
        <w:left w:val="none" w:sz="0" w:space="0" w:color="auto"/>
        <w:bottom w:val="none" w:sz="0" w:space="0" w:color="auto"/>
        <w:right w:val="none" w:sz="0" w:space="0" w:color="auto"/>
      </w:divBdr>
    </w:div>
    <w:div w:id="1910074350">
      <w:bodyDiv w:val="1"/>
      <w:marLeft w:val="0"/>
      <w:marRight w:val="0"/>
      <w:marTop w:val="0"/>
      <w:marBottom w:val="0"/>
      <w:divBdr>
        <w:top w:val="none" w:sz="0" w:space="0" w:color="auto"/>
        <w:left w:val="none" w:sz="0" w:space="0" w:color="auto"/>
        <w:bottom w:val="none" w:sz="0" w:space="0" w:color="auto"/>
        <w:right w:val="none" w:sz="0" w:space="0" w:color="auto"/>
      </w:divBdr>
    </w:div>
    <w:div w:id="2122913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lanie.Warne1\AppData\Local\Temp\Templafy\WordVsto\bv0hre2e.dotx" TargetMode="External"/></Relationships>
</file>

<file path=word/theme/theme1.xml><?xml version="1.0" encoding="utf-8"?>
<a:theme xmlns:a="http://schemas.openxmlformats.org/drawingml/2006/main" name="Office Theme">
  <a:themeElements>
    <a:clrScheme name="__Maximus">
      <a:dk1>
        <a:sysClr val="windowText" lastClr="000000"/>
      </a:dk1>
      <a:lt1>
        <a:sysClr val="window" lastClr="FFFFFF"/>
      </a:lt1>
      <a:dk2>
        <a:srgbClr val="200649"/>
      </a:dk2>
      <a:lt2>
        <a:srgbClr val="F2F2F2"/>
      </a:lt2>
      <a:accent1>
        <a:srgbClr val="200649"/>
      </a:accent1>
      <a:accent2>
        <a:srgbClr val="9F7FC9"/>
      </a:accent2>
      <a:accent3>
        <a:srgbClr val="6277B9"/>
      </a:accent3>
      <a:accent4>
        <a:srgbClr val="7EBE63"/>
      </a:accent4>
      <a:accent5>
        <a:srgbClr val="502E91"/>
      </a:accent5>
      <a:accent6>
        <a:srgbClr val="9CABD7"/>
      </a:accent6>
      <a:hlink>
        <a:srgbClr val="9F7FC9"/>
      </a:hlink>
      <a:folHlink>
        <a:srgbClr val="200649"/>
      </a:folHlink>
    </a:clrScheme>
    <a:fontScheme name="__Maximus">
      <a:majorFont>
        <a:latin typeface="Avenir Next LT Pro Light"/>
        <a:ea typeface=""/>
        <a:cs typeface=""/>
      </a:majorFont>
      <a:minorFont>
        <a:latin typeface="Avenir Next LT Pr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accent1"/>
        </a:solidFill>
        <a:ln>
          <a:solidFill>
            <a:schemeClr val="accent1"/>
          </a:solidFill>
        </a:ln>
      </a:spPr>
      <a:bodyPr rtlCol="0" anchor="ctr"/>
      <a:lstStyle/>
      <a:style>
        <a:lnRef idx="2">
          <a:schemeClr val="accent1">
            <a:shade val="15000"/>
          </a:schemeClr>
        </a:lnRef>
        <a:fillRef idx="1">
          <a:schemeClr val="accent1"/>
        </a:fillRef>
        <a:effectRef idx="0">
          <a:schemeClr val="accent1"/>
        </a:effectRef>
        <a:fontRef idx="minor">
          <a:schemeClr val="lt1"/>
        </a:fontRef>
      </a:style>
    </a:spDef>
    <a:lnDef>
      <a:spPr/>
      <a:bodyPr/>
      <a:lstStyle/>
      <a:style>
        <a:lnRef idx="1">
          <a:schemeClr val="accent1"/>
        </a:lnRef>
        <a:fillRef idx="0">
          <a:schemeClr val="accent1"/>
        </a:fillRef>
        <a:effectRef idx="0">
          <a:schemeClr val="accent1"/>
        </a:effectRef>
        <a:fontRef idx="minor">
          <a:schemeClr val="tx1"/>
        </a:fontRef>
      </a:style>
    </a:lnDef>
    <a:txDef>
      <a:spPr>
        <a:noFill/>
        <a:ln w="6350">
          <a:solidFill>
            <a:schemeClr val="accent1"/>
          </a:solidFill>
        </a:ln>
      </a:spPr>
      <a:bodyPr wrap="square" lIns="72000" tIns="72000" rIns="72000" bIns="72000" rtlCol="0"/>
      <a:lstStyle/>
    </a:txDef>
  </a:objectDefaults>
  <a:extraClrSchemeLst/>
  <a:custClrLst>
    <a:custClr name="Red">
      <a:srgbClr val="FF0000"/>
    </a:custClr>
    <a:custClr name="Amber">
      <a:srgbClr val="FFC000"/>
    </a:custClr>
    <a:custClr name="Green">
      <a:srgbClr val="7EBE63"/>
    </a:custClr>
  </a:custClr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TemplafyTemplateConfiguration><![CDATA[{"elementsMetadata":[],"transformationConfigurations":[],"templateName":"Maximus Blank Template","templateDescription":"","enableDocumentContentUpdater":false,"version":"2.0"}]]></TemplafyTemplateConfiguration>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22" ma:contentTypeDescription="Create a new document." ma:contentTypeScope="" ma:versionID="b699fd55927a34d257ed91fcb816b7cf">
  <xsd:schema xmlns:xsd="http://www.w3.org/2001/XMLSchema" xmlns:xs="http://www.w3.org/2001/XMLSchema" xmlns:p="http://schemas.microsoft.com/office/2006/metadata/properties" xmlns:ns1="http://schemas.microsoft.com/sharepoint/v3" xmlns:ns2="08719aca-9944-47ed-99d0-5d6a4bfa3e55" xmlns:ns3="5b2f617d-22f6-4a73-93de-44faf49dffb2" xmlns:ns4="26573516-4fdd-44dd-bdbd-8e5c736fef5f" targetNamespace="http://schemas.microsoft.com/office/2006/metadata/properties" ma:root="true" ma:fieldsID="a72eddf1b908bf265cbfbcdc0753b625" ns1:_="" ns2:_="" ns3:_="" ns4:_="">
    <xsd:import namespace="http://schemas.microsoft.com/sharepoint/v3"/>
    <xsd:import namespace="08719aca-9944-47ed-99d0-5d6a4bfa3e55"/>
    <xsd:import namespace="5b2f617d-22f6-4a73-93de-44faf49dffb2"/>
    <xsd:import namespace="26573516-4fdd-44dd-bdbd-8e5c736fef5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1:_ip_UnifiedCompliancePolicyProperties" minOccurs="0"/>
                <xsd:element ref="ns1:_ip_UnifiedCompliancePolicyUIAction" minOccurs="0"/>
                <xsd:element ref="ns3:SharedWithUsers" minOccurs="0"/>
                <xsd:element ref="ns3:SharedWithDetails"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Number" minOccurs="0"/>
                <xsd:element ref="ns2:lcf76f155ced4ddcb4097134ff3c332f" minOccurs="0"/>
                <xsd:element ref="ns4:TaxCatchAll" minOccurs="0"/>
                <xsd:element ref="ns2:date_x0020_added"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Number" ma:index="23" nillable="true" ma:displayName="Number" ma:format="Dropdown" ma:internalName="Number" ma:percentage="FALSE">
      <xsd:simpleType>
        <xsd:restriction base="dms:Number"/>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0c10deb3-8dd7-4942-8006-05e787042858" ma:termSetId="09814cd3-568e-fe90-9814-8d621ff8fb84" ma:anchorId="fba54fb3-c3e1-fe81-a776-ca4b69148c4d" ma:open="true" ma:isKeyword="false">
      <xsd:complexType>
        <xsd:sequence>
          <xsd:element ref="pc:Terms" minOccurs="0" maxOccurs="1"/>
        </xsd:sequence>
      </xsd:complexType>
    </xsd:element>
    <xsd:element name="date_x0020_added" ma:index="27" nillable="true" ma:displayName="date added" ma:internalName="date_x0020_added">
      <xsd:simpleType>
        <xsd:restriction base="dms:Text">
          <xsd:maxLength value="255"/>
        </xsd:restriction>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6573516-4fdd-44dd-bdbd-8e5c736fef5f" elementFormDefault="qualified">
    <xsd:import namespace="http://schemas.microsoft.com/office/2006/documentManagement/types"/>
    <xsd:import namespace="http://schemas.microsoft.com/office/infopath/2007/PartnerControls"/>
    <xsd:element name="TaxCatchAll" ma:index="26" nillable="true" ma:displayName="Taxonomy Catch All Column" ma:hidden="true" ma:list="{ed0fd8f8-565f-4be2-ae67-80b718644100}" ma:internalName="TaxCatchAll" ma:showField="CatchAllData" ma:web="5b2f617d-22f6-4a73-93de-44faf49dff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Number xmlns="08719aca-9944-47ed-99d0-5d6a4bfa3e55" xsi:nil="true"/>
    <TaxCatchAll xmlns="26573516-4fdd-44dd-bdbd-8e5c736fef5f" xsi:nil="true"/>
    <_ip_UnifiedCompliancePolicyProperties xmlns="http://schemas.microsoft.com/sharepoint/v3" xsi:nil="true"/>
    <lcf76f155ced4ddcb4097134ff3c332f xmlns="08719aca-9944-47ed-99d0-5d6a4bfa3e55">
      <Terms xmlns="http://schemas.microsoft.com/office/infopath/2007/PartnerControls"/>
    </lcf76f155ced4ddcb4097134ff3c332f>
    <date_x0020_added xmlns="08719aca-9944-47ed-99d0-5d6a4bfa3e5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TemplafyFormConfiguration><![CDATA[{"formFields":[],"formDataEntries":[]}]]></TemplafyFormConfiguration>
</file>

<file path=customXml/itemProps1.xml><?xml version="1.0" encoding="utf-8"?>
<ds:datastoreItem xmlns:ds="http://schemas.openxmlformats.org/officeDocument/2006/customXml" ds:itemID="{1C209971-AE10-4F02-A3A9-C84D0350EE17}">
  <ds:schemaRefs/>
</ds:datastoreItem>
</file>

<file path=customXml/itemProps2.xml><?xml version="1.0" encoding="utf-8"?>
<ds:datastoreItem xmlns:ds="http://schemas.openxmlformats.org/officeDocument/2006/customXml" ds:itemID="{480C824C-C187-4FBA-B62E-EA4083D2C5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8719aca-9944-47ed-99d0-5d6a4bfa3e55"/>
    <ds:schemaRef ds:uri="5b2f617d-22f6-4a73-93de-44faf49dffb2"/>
    <ds:schemaRef ds:uri="26573516-4fdd-44dd-bdbd-8e5c736fef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BDCB66-26C6-4508-9A66-454DC7DFC531}">
  <ds:schemaRefs>
    <ds:schemaRef ds:uri="http://schemas.microsoft.com/office/2006/metadata/properties"/>
    <ds:schemaRef ds:uri="http://schemas.microsoft.com/office/infopath/2007/PartnerControls"/>
    <ds:schemaRef ds:uri="http://schemas.microsoft.com/sharepoint/v3"/>
    <ds:schemaRef ds:uri="08719aca-9944-47ed-99d0-5d6a4bfa3e55"/>
    <ds:schemaRef ds:uri="26573516-4fdd-44dd-bdbd-8e5c736fef5f"/>
  </ds:schemaRefs>
</ds:datastoreItem>
</file>

<file path=customXml/itemProps4.xml><?xml version="1.0" encoding="utf-8"?>
<ds:datastoreItem xmlns:ds="http://schemas.openxmlformats.org/officeDocument/2006/customXml" ds:itemID="{0A187A0D-BB7D-42EB-91AE-91D37FCE58F8}">
  <ds:schemaRefs>
    <ds:schemaRef ds:uri="http://schemas.microsoft.com/sharepoint/v3/contenttype/forms"/>
  </ds:schemaRefs>
</ds:datastoreItem>
</file>

<file path=customXml/itemProps5.xml><?xml version="1.0" encoding="utf-8"?>
<ds:datastoreItem xmlns:ds="http://schemas.openxmlformats.org/officeDocument/2006/customXml" ds:itemID="{1562AE6A-FDD3-4716-BFD7-BB1E2DA25C44}">
  <ds:schemaRefs>
    <ds:schemaRef ds:uri="http://schemas.openxmlformats.org/officeDocument/2006/bibliography"/>
  </ds:schemaRefs>
</ds:datastoreItem>
</file>

<file path=customXml/itemProps6.xml><?xml version="1.0" encoding="utf-8"?>
<ds:datastoreItem xmlns:ds="http://schemas.openxmlformats.org/officeDocument/2006/customXml" ds:itemID="{54D8B26B-C71C-4647-8122-8BF05397F6EE}">
  <ds:schemaRefs/>
</ds:datastoreItem>
</file>

<file path=docProps/app.xml><?xml version="1.0" encoding="utf-8"?>
<Properties xmlns="http://schemas.openxmlformats.org/officeDocument/2006/extended-properties" xmlns:vt="http://schemas.openxmlformats.org/officeDocument/2006/docPropsVTypes">
  <Template>bv0hre2e</Template>
  <TotalTime>1</TotalTime>
  <Pages>10</Pages>
  <Words>4836</Words>
  <Characters>27569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Warne</dc:creator>
  <cp:keywords/>
  <dc:description/>
  <cp:lastModifiedBy>Melanie Warne</cp:lastModifiedBy>
  <cp:revision>2</cp:revision>
  <dcterms:created xsi:type="dcterms:W3CDTF">2025-07-27T14:08:00Z</dcterms:created>
  <dcterms:modified xsi:type="dcterms:W3CDTF">2025-07-27T14:08:00Z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MediaServiceImageTags">
    <vt:lpwstr/>
  </property>
  <property fmtid="{D5CDD505-2E9C-101B-9397-08002B2CF9AE}" pid="4" name="TemplafyTenantId">
    <vt:lpwstr>maximusuk</vt:lpwstr>
  </property>
  <property fmtid="{D5CDD505-2E9C-101B-9397-08002B2CF9AE}" pid="5" name="TemplafyTemplateId">
    <vt:lpwstr>1178252517420826830</vt:lpwstr>
  </property>
  <property fmtid="{D5CDD505-2E9C-101B-9397-08002B2CF9AE}" pid="6" name="TemplafyUserProfileId">
    <vt:lpwstr>985279457155350535</vt:lpwstr>
  </property>
  <property fmtid="{D5CDD505-2E9C-101B-9397-08002B2CF9AE}" pid="7" name="TemplafyFromBlank">
    <vt:bool>true</vt:bool>
  </property>
</Properties>
</file>