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61DE4" w14:textId="77777777" w:rsidR="005F4507" w:rsidRDefault="005F4507" w:rsidP="005F4507">
      <w:pPr>
        <w:spacing w:after="220"/>
        <w:ind w:right="1438"/>
        <w:jc w:val="right"/>
      </w:pPr>
      <w:r>
        <w:rPr>
          <w:noProof/>
        </w:rPr>
        <w:drawing>
          <wp:inline distT="0" distB="0" distL="0" distR="0" wp14:anchorId="6668A442" wp14:editId="577254F6">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5"/>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19C555E3" w14:textId="77777777" w:rsidR="005F4507" w:rsidRDefault="005F4507" w:rsidP="005F4507">
      <w:pPr>
        <w:spacing w:after="273"/>
        <w:ind w:right="5"/>
        <w:jc w:val="center"/>
      </w:pPr>
      <w:r>
        <w:rPr>
          <w:rFonts w:ascii="Times New Roman" w:eastAsia="Times New Roman" w:hAnsi="Times New Roman" w:cs="Times New Roman"/>
          <w:b/>
        </w:rPr>
        <w:t xml:space="preserve"> </w:t>
      </w:r>
    </w:p>
    <w:p w14:paraId="427C9B14" w14:textId="77777777" w:rsidR="005F4507" w:rsidRDefault="005F4507" w:rsidP="005F4507">
      <w:pPr>
        <w:spacing w:after="274"/>
      </w:pPr>
      <w:r>
        <w:rPr>
          <w:rFonts w:ascii="Times New Roman" w:eastAsia="Times New Roman" w:hAnsi="Times New Roman" w:cs="Times New Roman"/>
          <w:b/>
        </w:rPr>
        <w:t xml:space="preserve"> </w:t>
      </w:r>
    </w:p>
    <w:p w14:paraId="41561389" w14:textId="77777777" w:rsidR="005F4507" w:rsidRPr="00261A1F" w:rsidRDefault="005F4507" w:rsidP="005F4507">
      <w:pPr>
        <w:spacing w:after="274"/>
        <w:ind w:left="2716" w:firstLine="93"/>
        <w:rPr>
          <w:rFonts w:ascii="Times New Roman" w:eastAsia="Times New Roman" w:hAnsi="Times New Roman" w:cs="Times New Roman"/>
          <w:b/>
          <w:sz w:val="24"/>
          <w:szCs w:val="24"/>
        </w:rPr>
      </w:pPr>
    </w:p>
    <w:p w14:paraId="1E385905" w14:textId="77777777" w:rsidR="005F4507" w:rsidRPr="005F4507" w:rsidRDefault="005F4507" w:rsidP="005F4507">
      <w:pPr>
        <w:spacing w:after="274"/>
        <w:ind w:left="2716" w:firstLine="93"/>
        <w:rPr>
          <w:rFonts w:ascii="Times New Roman" w:eastAsia="Times New Roman" w:hAnsi="Times New Roman" w:cs="Times New Roman"/>
          <w:b/>
          <w:sz w:val="24"/>
          <w:szCs w:val="24"/>
        </w:rPr>
      </w:pPr>
      <w:proofErr w:type="spellStart"/>
      <w:r w:rsidRPr="00C12999">
        <w:rPr>
          <w:rFonts w:ascii="Times New Roman" w:eastAsia="Times New Roman" w:hAnsi="Times New Roman" w:cs="Times New Roman"/>
          <w:b/>
          <w:sz w:val="24"/>
          <w:szCs w:val="24"/>
        </w:rPr>
        <w:t>Programme</w:t>
      </w:r>
      <w:proofErr w:type="spellEnd"/>
      <w:r w:rsidRPr="00C12999">
        <w:rPr>
          <w:rFonts w:ascii="Times New Roman" w:eastAsia="Times New Roman" w:hAnsi="Times New Roman" w:cs="Times New Roman"/>
          <w:b/>
          <w:sz w:val="24"/>
          <w:szCs w:val="24"/>
        </w:rPr>
        <w:t>: Master of Business Administration</w:t>
      </w:r>
    </w:p>
    <w:p w14:paraId="72BBDE05" w14:textId="0B92033E"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Module:</w:t>
      </w:r>
      <w:r>
        <w:rPr>
          <w:rFonts w:ascii="Times New Roman" w:eastAsia="Times New Roman" w:hAnsi="Times New Roman" w:cs="Times New Roman"/>
          <w:b/>
          <w:sz w:val="24"/>
          <w:szCs w:val="24"/>
        </w:rPr>
        <w:t xml:space="preserve"> </w:t>
      </w:r>
      <w:r w:rsidRPr="005F4507">
        <w:rPr>
          <w:rFonts w:ascii="Times New Roman" w:eastAsia="Times New Roman" w:hAnsi="Times New Roman" w:cs="Times New Roman"/>
          <w:b/>
          <w:sz w:val="24"/>
          <w:szCs w:val="24"/>
        </w:rPr>
        <w:t>Financial Management</w:t>
      </w:r>
    </w:p>
    <w:p w14:paraId="2C41516A" w14:textId="75852E52"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 xml:space="preserve">Module code: </w:t>
      </w:r>
      <w:r w:rsidRPr="005F4507">
        <w:rPr>
          <w:rFonts w:ascii="Times New Roman" w:eastAsia="Times New Roman" w:hAnsi="Times New Roman" w:cs="Times New Roman"/>
          <w:b/>
          <w:sz w:val="24"/>
          <w:szCs w:val="24"/>
        </w:rPr>
        <w:t>LCMB7002</w:t>
      </w:r>
    </w:p>
    <w:p w14:paraId="60DD230D" w14:textId="621D4918"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Word count:</w:t>
      </w:r>
      <w:r w:rsidR="000F62B6">
        <w:rPr>
          <w:rFonts w:ascii="Times New Roman" w:eastAsia="Times New Roman" w:hAnsi="Times New Roman" w:cs="Times New Roman"/>
          <w:b/>
          <w:sz w:val="24"/>
          <w:szCs w:val="24"/>
        </w:rPr>
        <w:t xml:space="preserve"> 5374</w:t>
      </w:r>
    </w:p>
    <w:p w14:paraId="1E9697DF" w14:textId="72147EC5" w:rsidR="005F4507" w:rsidRPr="005F4507" w:rsidRDefault="005F4507" w:rsidP="005F4507">
      <w:pPr>
        <w:spacing w:after="274"/>
        <w:ind w:left="2716" w:firstLine="93"/>
        <w:rPr>
          <w:rFonts w:ascii="Times New Roman" w:eastAsia="Times New Roman" w:hAnsi="Times New Roman" w:cs="Times New Roman"/>
          <w:b/>
          <w:sz w:val="24"/>
          <w:szCs w:val="24"/>
        </w:rPr>
      </w:pPr>
      <w:r w:rsidRPr="005F4507">
        <w:rPr>
          <w:rFonts w:ascii="Times New Roman" w:eastAsia="Times New Roman" w:hAnsi="Times New Roman" w:cs="Times New Roman"/>
          <w:b/>
          <w:sz w:val="24"/>
          <w:szCs w:val="24"/>
        </w:rPr>
        <w:t>Lecturer: Patrick Yeboah</w:t>
      </w:r>
    </w:p>
    <w:p w14:paraId="124CF9F1" w14:textId="77777777"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Student Name: Samit</w:t>
      </w:r>
      <w:r>
        <w:rPr>
          <w:rFonts w:ascii="Times New Roman" w:eastAsia="Times New Roman" w:hAnsi="Times New Roman" w:cs="Times New Roman"/>
          <w:b/>
          <w:sz w:val="24"/>
          <w:szCs w:val="24"/>
        </w:rPr>
        <w:t xml:space="preserve"> Chanda</w:t>
      </w:r>
    </w:p>
    <w:p w14:paraId="2E1D414F" w14:textId="77777777"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Student ID:</w:t>
      </w:r>
      <w:r>
        <w:rPr>
          <w:rFonts w:ascii="Times New Roman" w:eastAsia="Times New Roman" w:hAnsi="Times New Roman" w:cs="Times New Roman"/>
          <w:b/>
          <w:sz w:val="24"/>
          <w:szCs w:val="24"/>
        </w:rPr>
        <w:t xml:space="preserve"> 2504511</w:t>
      </w:r>
    </w:p>
    <w:p w14:paraId="335F345D" w14:textId="776E1D9B" w:rsidR="005F4507" w:rsidRPr="005F4507" w:rsidRDefault="005F4507" w:rsidP="005F4507">
      <w:pPr>
        <w:spacing w:after="274"/>
        <w:ind w:left="2716" w:firstLine="93"/>
        <w:rPr>
          <w:rFonts w:ascii="Times New Roman" w:eastAsia="Times New Roman" w:hAnsi="Times New Roman" w:cs="Times New Roman"/>
          <w:b/>
          <w:sz w:val="24"/>
          <w:szCs w:val="24"/>
        </w:rPr>
      </w:pPr>
      <w:r w:rsidRPr="00C12999">
        <w:rPr>
          <w:rFonts w:ascii="Times New Roman" w:eastAsia="Times New Roman" w:hAnsi="Times New Roman" w:cs="Times New Roman"/>
          <w:b/>
          <w:sz w:val="24"/>
          <w:szCs w:val="24"/>
        </w:rPr>
        <w:t>Submission Date-</w:t>
      </w:r>
      <w:r>
        <w:rPr>
          <w:rFonts w:ascii="Times New Roman" w:eastAsia="Times New Roman" w:hAnsi="Times New Roman" w:cs="Times New Roman"/>
          <w:b/>
          <w:sz w:val="24"/>
          <w:szCs w:val="24"/>
        </w:rPr>
        <w:t xml:space="preserve"> </w:t>
      </w:r>
      <w:r w:rsidRPr="005F4507">
        <w:rPr>
          <w:rFonts w:ascii="Times New Roman" w:eastAsia="Times New Roman" w:hAnsi="Times New Roman" w:cs="Times New Roman"/>
          <w:b/>
          <w:sz w:val="24"/>
          <w:szCs w:val="24"/>
        </w:rPr>
        <w:t>24th November</w:t>
      </w:r>
    </w:p>
    <w:p w14:paraId="33F0B64A" w14:textId="77777777" w:rsidR="003B2681" w:rsidRDefault="003B2681" w:rsidP="003B2681">
      <w:pPr>
        <w:rPr>
          <w:rFonts w:ascii="Arial" w:hAnsi="Arial" w:cs="Arial"/>
          <w:b/>
          <w:bCs/>
          <w:sz w:val="24"/>
          <w:szCs w:val="24"/>
        </w:rPr>
      </w:pPr>
      <w:r>
        <w:rPr>
          <w:rFonts w:ascii="Arial" w:hAnsi="Arial" w:cs="Arial"/>
          <w:b/>
          <w:bCs/>
          <w:sz w:val="24"/>
          <w:szCs w:val="24"/>
        </w:rPr>
        <w:br w:type="page"/>
      </w:r>
    </w:p>
    <w:p w14:paraId="348E09A1" w14:textId="77777777" w:rsidR="003B2681" w:rsidRPr="00041F0B" w:rsidRDefault="003B2681" w:rsidP="003B2681">
      <w:pPr>
        <w:jc w:val="center"/>
        <w:rPr>
          <w:rFonts w:ascii="Arial" w:hAnsi="Arial" w:cs="Arial"/>
          <w:b/>
          <w:bCs/>
          <w:sz w:val="24"/>
          <w:szCs w:val="24"/>
        </w:rPr>
      </w:pPr>
      <w:r w:rsidRPr="00041F0B">
        <w:rPr>
          <w:rFonts w:ascii="Arial" w:hAnsi="Arial" w:cs="Arial"/>
          <w:b/>
          <w:bCs/>
          <w:sz w:val="24"/>
          <w:szCs w:val="24"/>
        </w:rPr>
        <w:lastRenderedPageBreak/>
        <w:t>Table of Contents</w:t>
      </w:r>
    </w:p>
    <w:p w14:paraId="481429AC" w14:textId="7AB30E61"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Introduction</w:t>
      </w:r>
      <w:r>
        <w:rPr>
          <w:rFonts w:ascii="Arial" w:hAnsi="Arial" w:cs="Arial"/>
          <w:b/>
          <w:bCs/>
          <w:sz w:val="24"/>
          <w:szCs w:val="24"/>
        </w:rPr>
        <w:t>……………………………………………………</w:t>
      </w:r>
      <w:r w:rsidR="000F62B6">
        <w:rPr>
          <w:rFonts w:ascii="Arial" w:hAnsi="Arial" w:cs="Arial"/>
          <w:b/>
          <w:bCs/>
          <w:sz w:val="24"/>
          <w:szCs w:val="24"/>
        </w:rPr>
        <w:t>3</w:t>
      </w:r>
    </w:p>
    <w:p w14:paraId="488F9090" w14:textId="05075CEF"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Financial Health Check</w:t>
      </w:r>
      <w:r>
        <w:rPr>
          <w:rFonts w:ascii="Arial" w:hAnsi="Arial" w:cs="Arial"/>
          <w:b/>
          <w:bCs/>
          <w:sz w:val="24"/>
          <w:szCs w:val="24"/>
        </w:rPr>
        <w:t>……………………………………</w:t>
      </w:r>
      <w:r w:rsidR="000F62B6">
        <w:rPr>
          <w:rFonts w:ascii="Arial" w:hAnsi="Arial" w:cs="Arial"/>
          <w:b/>
          <w:bCs/>
          <w:sz w:val="24"/>
          <w:szCs w:val="24"/>
        </w:rPr>
        <w:t>3-8</w:t>
      </w:r>
    </w:p>
    <w:p w14:paraId="46A9BF6D" w14:textId="2D3B8F56"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Working Capital Management Analysis</w:t>
      </w:r>
      <w:r>
        <w:rPr>
          <w:rFonts w:ascii="Arial" w:hAnsi="Arial" w:cs="Arial"/>
          <w:b/>
          <w:bCs/>
          <w:sz w:val="24"/>
          <w:szCs w:val="24"/>
        </w:rPr>
        <w:t>………………</w:t>
      </w:r>
      <w:r w:rsidR="000F62B6">
        <w:rPr>
          <w:rFonts w:ascii="Arial" w:hAnsi="Arial" w:cs="Arial"/>
          <w:b/>
          <w:bCs/>
          <w:sz w:val="24"/>
          <w:szCs w:val="24"/>
        </w:rPr>
        <w:t>8-12</w:t>
      </w:r>
    </w:p>
    <w:p w14:paraId="79218DA3" w14:textId="3621057E"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Strategic Financial Restructuring Plan</w:t>
      </w:r>
      <w:r>
        <w:rPr>
          <w:rFonts w:ascii="Arial" w:hAnsi="Arial" w:cs="Arial"/>
          <w:b/>
          <w:bCs/>
          <w:sz w:val="24"/>
          <w:szCs w:val="24"/>
        </w:rPr>
        <w:t>…………</w:t>
      </w:r>
      <w:proofErr w:type="gramStart"/>
      <w:r>
        <w:rPr>
          <w:rFonts w:ascii="Arial" w:hAnsi="Arial" w:cs="Arial"/>
          <w:b/>
          <w:bCs/>
          <w:sz w:val="24"/>
          <w:szCs w:val="24"/>
        </w:rPr>
        <w:t>…</w:t>
      </w:r>
      <w:r w:rsidR="000F62B6">
        <w:rPr>
          <w:rFonts w:ascii="Arial" w:hAnsi="Arial" w:cs="Arial"/>
          <w:b/>
          <w:bCs/>
          <w:sz w:val="24"/>
          <w:szCs w:val="24"/>
        </w:rPr>
        <w:t>..</w:t>
      </w:r>
      <w:proofErr w:type="gramEnd"/>
      <w:r w:rsidR="000F62B6">
        <w:rPr>
          <w:rFonts w:ascii="Arial" w:hAnsi="Arial" w:cs="Arial"/>
          <w:b/>
          <w:bCs/>
          <w:sz w:val="24"/>
          <w:szCs w:val="24"/>
        </w:rPr>
        <w:t>12-16</w:t>
      </w:r>
    </w:p>
    <w:p w14:paraId="1743ACA4" w14:textId="396DF66D"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Investment Appraisal Analysis</w:t>
      </w:r>
      <w:r>
        <w:rPr>
          <w:rFonts w:ascii="Arial" w:hAnsi="Arial" w:cs="Arial"/>
          <w:b/>
          <w:bCs/>
          <w:sz w:val="24"/>
          <w:szCs w:val="24"/>
        </w:rPr>
        <w:t>………………………</w:t>
      </w:r>
      <w:r w:rsidR="000F62B6">
        <w:rPr>
          <w:rFonts w:ascii="Arial" w:hAnsi="Arial" w:cs="Arial"/>
          <w:b/>
          <w:bCs/>
          <w:sz w:val="24"/>
          <w:szCs w:val="24"/>
        </w:rPr>
        <w:t>16-26</w:t>
      </w:r>
    </w:p>
    <w:p w14:paraId="1A42BDF6" w14:textId="566CCE29"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Recommendations</w:t>
      </w:r>
      <w:r>
        <w:rPr>
          <w:rFonts w:ascii="Arial" w:hAnsi="Arial" w:cs="Arial"/>
          <w:b/>
          <w:bCs/>
          <w:sz w:val="24"/>
          <w:szCs w:val="24"/>
        </w:rPr>
        <w:t>…………………………………………</w:t>
      </w:r>
      <w:r w:rsidR="000F62B6">
        <w:rPr>
          <w:rFonts w:ascii="Arial" w:hAnsi="Arial" w:cs="Arial"/>
          <w:b/>
          <w:bCs/>
          <w:sz w:val="24"/>
          <w:szCs w:val="24"/>
        </w:rPr>
        <w:t>26</w:t>
      </w:r>
    </w:p>
    <w:p w14:paraId="0D7E4A8E" w14:textId="3A5E0886"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Conclusion</w:t>
      </w:r>
      <w:r>
        <w:rPr>
          <w:rFonts w:ascii="Arial" w:hAnsi="Arial" w:cs="Arial"/>
          <w:b/>
          <w:bCs/>
          <w:sz w:val="24"/>
          <w:szCs w:val="24"/>
        </w:rPr>
        <w:t>………………………………………………</w:t>
      </w:r>
      <w:proofErr w:type="gramStart"/>
      <w:r>
        <w:rPr>
          <w:rFonts w:ascii="Arial" w:hAnsi="Arial" w:cs="Arial"/>
          <w:b/>
          <w:bCs/>
          <w:sz w:val="24"/>
          <w:szCs w:val="24"/>
        </w:rPr>
        <w:t>…</w:t>
      </w:r>
      <w:r w:rsidR="000F62B6">
        <w:rPr>
          <w:rFonts w:ascii="Arial" w:hAnsi="Arial" w:cs="Arial"/>
          <w:b/>
          <w:bCs/>
          <w:sz w:val="24"/>
          <w:szCs w:val="24"/>
        </w:rPr>
        <w:t>..</w:t>
      </w:r>
      <w:proofErr w:type="gramEnd"/>
      <w:r w:rsidR="000F62B6">
        <w:rPr>
          <w:rFonts w:ascii="Arial" w:hAnsi="Arial" w:cs="Arial"/>
          <w:b/>
          <w:bCs/>
          <w:sz w:val="24"/>
          <w:szCs w:val="24"/>
        </w:rPr>
        <w:t>26</w:t>
      </w:r>
    </w:p>
    <w:p w14:paraId="40FEE84D" w14:textId="6FD2F1E6" w:rsidR="003B2681" w:rsidRPr="00041F0B" w:rsidRDefault="003B2681" w:rsidP="003B2681">
      <w:pPr>
        <w:numPr>
          <w:ilvl w:val="0"/>
          <w:numId w:val="23"/>
        </w:numPr>
        <w:rPr>
          <w:rFonts w:ascii="Arial" w:hAnsi="Arial" w:cs="Arial"/>
          <w:b/>
          <w:bCs/>
          <w:sz w:val="24"/>
          <w:szCs w:val="24"/>
        </w:rPr>
      </w:pPr>
      <w:r w:rsidRPr="00041F0B">
        <w:rPr>
          <w:rFonts w:ascii="Arial" w:hAnsi="Arial" w:cs="Arial"/>
          <w:b/>
          <w:bCs/>
          <w:sz w:val="24"/>
          <w:szCs w:val="24"/>
        </w:rPr>
        <w:t>References</w:t>
      </w:r>
      <w:r>
        <w:rPr>
          <w:rFonts w:ascii="Arial" w:hAnsi="Arial" w:cs="Arial"/>
          <w:b/>
          <w:bCs/>
          <w:sz w:val="24"/>
          <w:szCs w:val="24"/>
        </w:rPr>
        <w:t>…………………………………………………</w:t>
      </w:r>
      <w:r w:rsidR="000F62B6">
        <w:rPr>
          <w:rFonts w:ascii="Arial" w:hAnsi="Arial" w:cs="Arial"/>
          <w:b/>
          <w:bCs/>
          <w:sz w:val="24"/>
          <w:szCs w:val="24"/>
        </w:rPr>
        <w:t>.27</w:t>
      </w:r>
    </w:p>
    <w:p w14:paraId="0E22AD17" w14:textId="77777777" w:rsidR="003B2681" w:rsidRDefault="003B2681" w:rsidP="003B2681">
      <w:pPr>
        <w:rPr>
          <w:rFonts w:ascii="Arial" w:hAnsi="Arial" w:cs="Arial"/>
          <w:b/>
          <w:bCs/>
          <w:sz w:val="24"/>
          <w:szCs w:val="24"/>
        </w:rPr>
      </w:pPr>
      <w:r>
        <w:rPr>
          <w:rFonts w:ascii="Arial" w:hAnsi="Arial" w:cs="Arial"/>
          <w:b/>
          <w:bCs/>
          <w:sz w:val="24"/>
          <w:szCs w:val="24"/>
        </w:rPr>
        <w:br w:type="page"/>
      </w:r>
    </w:p>
    <w:p w14:paraId="6356FA09"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lastRenderedPageBreak/>
        <w:t xml:space="preserve">1. Introduction </w:t>
      </w:r>
    </w:p>
    <w:p w14:paraId="1AC30B55" w14:textId="77777777" w:rsidR="003B2681" w:rsidRPr="00C76379" w:rsidRDefault="003B2681" w:rsidP="003B2681">
      <w:pPr>
        <w:spacing w:line="360" w:lineRule="auto"/>
        <w:rPr>
          <w:rFonts w:ascii="Arial" w:hAnsi="Arial" w:cs="Arial"/>
          <w:sz w:val="24"/>
          <w:szCs w:val="24"/>
        </w:rPr>
      </w:pPr>
      <w:r w:rsidRPr="00C76379">
        <w:rPr>
          <w:rFonts w:ascii="Arial" w:hAnsi="Arial" w:cs="Arial"/>
          <w:sz w:val="24"/>
          <w:szCs w:val="24"/>
        </w:rPr>
        <w:t xml:space="preserve">The consumer electronics sector is being transformed swiftly </w:t>
      </w:r>
      <w:proofErr w:type="gramStart"/>
      <w:r w:rsidRPr="00C76379">
        <w:rPr>
          <w:rFonts w:ascii="Arial" w:hAnsi="Arial" w:cs="Arial"/>
          <w:sz w:val="24"/>
          <w:szCs w:val="24"/>
        </w:rPr>
        <w:t>in</w:t>
      </w:r>
      <w:proofErr w:type="gramEnd"/>
      <w:r w:rsidRPr="00C76379">
        <w:rPr>
          <w:rFonts w:ascii="Arial" w:hAnsi="Arial" w:cs="Arial"/>
          <w:sz w:val="24"/>
          <w:szCs w:val="24"/>
        </w:rPr>
        <w:t xml:space="preserve"> technological terms, altered consumer preferences and a squeezed profit margin (PwC, 2024). Having been a global leader once, General Electronics (GE) has been struggling with a steady drop in financial performance within the last five years. This is where I come in as the new Chief Financial Officer with a task of diagnosing the underlying financial reasons behind this distress, coming up with a long-term turnaround strategy and assessing the investment opportunities that can make GE competitive again.</w:t>
      </w:r>
    </w:p>
    <w:p w14:paraId="47966A1C" w14:textId="5018C3BE" w:rsidR="003B2681" w:rsidRDefault="003B2681" w:rsidP="003B2681">
      <w:pPr>
        <w:spacing w:line="360" w:lineRule="auto"/>
        <w:rPr>
          <w:rFonts w:ascii="Arial" w:hAnsi="Arial" w:cs="Arial"/>
          <w:sz w:val="24"/>
          <w:szCs w:val="24"/>
        </w:rPr>
      </w:pPr>
      <w:r w:rsidRPr="00C76379">
        <w:rPr>
          <w:rFonts w:ascii="Arial" w:hAnsi="Arial" w:cs="Arial"/>
          <w:sz w:val="24"/>
          <w:szCs w:val="24"/>
        </w:rPr>
        <w:t xml:space="preserve">With the help of financial-statement analysis, ratio benchmarking and corporate-restructuring frameworks, this report recommends a plausible recovery strategy. The Z-Score to measure bankruptcy risk and Net Present Value (NPV) to measure capital projects are among the tools that guarantee evidence-based and </w:t>
      </w:r>
      <w:proofErr w:type="gramStart"/>
      <w:r w:rsidRPr="00C76379">
        <w:rPr>
          <w:rFonts w:ascii="Arial" w:hAnsi="Arial" w:cs="Arial"/>
          <w:sz w:val="24"/>
          <w:szCs w:val="24"/>
        </w:rPr>
        <w:t>ethically-based</w:t>
      </w:r>
      <w:proofErr w:type="gramEnd"/>
      <w:r w:rsidRPr="00C76379">
        <w:rPr>
          <w:rFonts w:ascii="Arial" w:hAnsi="Arial" w:cs="Arial"/>
          <w:sz w:val="24"/>
          <w:szCs w:val="24"/>
        </w:rPr>
        <w:t xml:space="preserve"> decisions. Everything is in </w:t>
      </w:r>
      <w:r w:rsidR="00222693">
        <w:rPr>
          <w:rFonts w:ascii="Arial" w:hAnsi="Arial" w:cs="Arial"/>
          <w:sz w:val="24"/>
          <w:szCs w:val="24"/>
        </w:rPr>
        <w:t>£</w:t>
      </w:r>
      <w:r w:rsidRPr="00C76379">
        <w:rPr>
          <w:rFonts w:ascii="Arial" w:hAnsi="Arial" w:cs="Arial"/>
          <w:sz w:val="24"/>
          <w:szCs w:val="24"/>
        </w:rPr>
        <w:t xml:space="preserve"> millions, and it is analyzed with a weakness in profitability, liquidity and efficiency, along with working-capital reforms, restructuring measures and feasible investments within </w:t>
      </w:r>
      <w:r w:rsidR="00222693">
        <w:rPr>
          <w:rFonts w:ascii="Arial" w:hAnsi="Arial" w:cs="Arial"/>
          <w:sz w:val="24"/>
          <w:szCs w:val="24"/>
        </w:rPr>
        <w:t>£</w:t>
      </w:r>
      <w:r w:rsidRPr="00C76379">
        <w:rPr>
          <w:rFonts w:ascii="Arial" w:hAnsi="Arial" w:cs="Arial"/>
          <w:sz w:val="24"/>
          <w:szCs w:val="24"/>
        </w:rPr>
        <w:t>60m constraint.</w:t>
      </w:r>
    </w:p>
    <w:p w14:paraId="707190C8"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 Financial Health Check</w:t>
      </w:r>
    </w:p>
    <w:p w14:paraId="4FCC35FA"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2.1 Profitability Analysis</w:t>
      </w:r>
    </w:p>
    <w:p w14:paraId="683F924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General Electronics (GE) has </w:t>
      </w:r>
      <w:proofErr w:type="gramStart"/>
      <w:r w:rsidRPr="00EF3D11">
        <w:rPr>
          <w:rFonts w:ascii="Arial" w:hAnsi="Arial" w:cs="Arial"/>
          <w:sz w:val="24"/>
          <w:szCs w:val="24"/>
        </w:rPr>
        <w:t>a significantly</w:t>
      </w:r>
      <w:proofErr w:type="gramEnd"/>
      <w:r w:rsidRPr="00EF3D11">
        <w:rPr>
          <w:rFonts w:ascii="Arial" w:hAnsi="Arial" w:cs="Arial"/>
          <w:sz w:val="24"/>
          <w:szCs w:val="24"/>
        </w:rPr>
        <w:t xml:space="preserve"> reduced profitability in the last five years. Net income varied between small profits in 2020-2022 and huge losses in 2023-2024 due to the lack of operational efficiency, increase in cost, and impairment. Some major trends are shown in the following summary:</w:t>
      </w:r>
    </w:p>
    <w:tbl>
      <w:tblPr>
        <w:tblStyle w:val="TableGrid"/>
        <w:tblW w:w="0" w:type="auto"/>
        <w:tblLook w:val="04A0" w:firstRow="1" w:lastRow="0" w:firstColumn="1" w:lastColumn="0" w:noHBand="0" w:noVBand="1"/>
      </w:tblPr>
      <w:tblGrid>
        <w:gridCol w:w="750"/>
        <w:gridCol w:w="1696"/>
        <w:gridCol w:w="1856"/>
        <w:gridCol w:w="1079"/>
        <w:gridCol w:w="1937"/>
        <w:gridCol w:w="1698"/>
      </w:tblGrid>
      <w:tr w:rsidR="003B2681" w:rsidRPr="00EF3D11" w14:paraId="4317AEA7" w14:textId="77777777" w:rsidTr="008608DC">
        <w:tc>
          <w:tcPr>
            <w:tcW w:w="0" w:type="auto"/>
            <w:hideMark/>
          </w:tcPr>
          <w:p w14:paraId="69DAD10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Year</w:t>
            </w:r>
          </w:p>
        </w:tc>
        <w:tc>
          <w:tcPr>
            <w:tcW w:w="0" w:type="auto"/>
            <w:hideMark/>
          </w:tcPr>
          <w:p w14:paraId="0A91FEB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Net Sales (£m)</w:t>
            </w:r>
          </w:p>
        </w:tc>
        <w:tc>
          <w:tcPr>
            <w:tcW w:w="0" w:type="auto"/>
            <w:hideMark/>
          </w:tcPr>
          <w:p w14:paraId="1DE49D8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Net Income (£m)</w:t>
            </w:r>
          </w:p>
        </w:tc>
        <w:tc>
          <w:tcPr>
            <w:tcW w:w="0" w:type="auto"/>
            <w:hideMark/>
          </w:tcPr>
          <w:p w14:paraId="667BF39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ROE (%)</w:t>
            </w:r>
          </w:p>
        </w:tc>
        <w:tc>
          <w:tcPr>
            <w:tcW w:w="0" w:type="auto"/>
            <w:hideMark/>
          </w:tcPr>
          <w:p w14:paraId="3C3E01B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Gross Margin (%)</w:t>
            </w:r>
          </w:p>
        </w:tc>
        <w:tc>
          <w:tcPr>
            <w:tcW w:w="0" w:type="auto"/>
            <w:hideMark/>
          </w:tcPr>
          <w:p w14:paraId="31D492F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Net Margin (%)</w:t>
            </w:r>
          </w:p>
        </w:tc>
      </w:tr>
      <w:tr w:rsidR="003B2681" w:rsidRPr="00EF3D11" w14:paraId="0EC77D97" w14:textId="77777777" w:rsidTr="008608DC">
        <w:tc>
          <w:tcPr>
            <w:tcW w:w="0" w:type="auto"/>
            <w:hideMark/>
          </w:tcPr>
          <w:p w14:paraId="7E94261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2020</w:t>
            </w:r>
          </w:p>
        </w:tc>
        <w:tc>
          <w:tcPr>
            <w:tcW w:w="0" w:type="auto"/>
            <w:hideMark/>
          </w:tcPr>
          <w:p w14:paraId="1486300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614,680</w:t>
            </w:r>
          </w:p>
        </w:tc>
        <w:tc>
          <w:tcPr>
            <w:tcW w:w="0" w:type="auto"/>
            <w:hideMark/>
          </w:tcPr>
          <w:p w14:paraId="7AEC3C5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38,572</w:t>
            </w:r>
          </w:p>
        </w:tc>
        <w:tc>
          <w:tcPr>
            <w:tcW w:w="0" w:type="auto"/>
            <w:hideMark/>
          </w:tcPr>
          <w:p w14:paraId="53D4260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12.3</w:t>
            </w:r>
          </w:p>
        </w:tc>
        <w:tc>
          <w:tcPr>
            <w:tcW w:w="0" w:type="auto"/>
            <w:hideMark/>
          </w:tcPr>
          <w:p w14:paraId="0CC4CD84"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28.7</w:t>
            </w:r>
          </w:p>
        </w:tc>
        <w:tc>
          <w:tcPr>
            <w:tcW w:w="0" w:type="auto"/>
            <w:hideMark/>
          </w:tcPr>
          <w:p w14:paraId="750D000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6.3</w:t>
            </w:r>
          </w:p>
        </w:tc>
      </w:tr>
      <w:tr w:rsidR="003B2681" w:rsidRPr="00EF3D11" w14:paraId="5D8C0434" w14:textId="77777777" w:rsidTr="008608DC">
        <w:tc>
          <w:tcPr>
            <w:tcW w:w="0" w:type="auto"/>
            <w:hideMark/>
          </w:tcPr>
          <w:p w14:paraId="1629CA5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2021</w:t>
            </w:r>
          </w:p>
        </w:tc>
        <w:tc>
          <w:tcPr>
            <w:tcW w:w="0" w:type="auto"/>
            <w:hideMark/>
          </w:tcPr>
          <w:p w14:paraId="5C45610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601,602</w:t>
            </w:r>
          </w:p>
        </w:tc>
        <w:tc>
          <w:tcPr>
            <w:tcW w:w="0" w:type="auto"/>
            <w:hideMark/>
          </w:tcPr>
          <w:p w14:paraId="6CA8EE9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5,301</w:t>
            </w:r>
          </w:p>
        </w:tc>
        <w:tc>
          <w:tcPr>
            <w:tcW w:w="0" w:type="auto"/>
            <w:hideMark/>
          </w:tcPr>
          <w:p w14:paraId="27D5D98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1.6</w:t>
            </w:r>
          </w:p>
        </w:tc>
        <w:tc>
          <w:tcPr>
            <w:tcW w:w="0" w:type="auto"/>
            <w:hideMark/>
          </w:tcPr>
          <w:p w14:paraId="5207767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28.8</w:t>
            </w:r>
          </w:p>
        </w:tc>
        <w:tc>
          <w:tcPr>
            <w:tcW w:w="0" w:type="auto"/>
            <w:hideMark/>
          </w:tcPr>
          <w:p w14:paraId="0357E22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0.9</w:t>
            </w:r>
          </w:p>
        </w:tc>
      </w:tr>
      <w:tr w:rsidR="003B2681" w:rsidRPr="00EF3D11" w14:paraId="654923E5" w14:textId="77777777" w:rsidTr="008608DC">
        <w:tc>
          <w:tcPr>
            <w:tcW w:w="0" w:type="auto"/>
            <w:hideMark/>
          </w:tcPr>
          <w:p w14:paraId="5F8A196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2022</w:t>
            </w:r>
          </w:p>
        </w:tc>
        <w:tc>
          <w:tcPr>
            <w:tcW w:w="0" w:type="auto"/>
            <w:hideMark/>
          </w:tcPr>
          <w:p w14:paraId="4FFD6E7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542,751</w:t>
            </w:r>
          </w:p>
        </w:tc>
        <w:tc>
          <w:tcPr>
            <w:tcW w:w="0" w:type="auto"/>
            <w:hideMark/>
          </w:tcPr>
          <w:p w14:paraId="4882BFB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407</w:t>
            </w:r>
          </w:p>
        </w:tc>
        <w:tc>
          <w:tcPr>
            <w:tcW w:w="0" w:type="auto"/>
            <w:hideMark/>
          </w:tcPr>
          <w:p w14:paraId="5B01A11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0.1</w:t>
            </w:r>
          </w:p>
        </w:tc>
        <w:tc>
          <w:tcPr>
            <w:tcW w:w="0" w:type="auto"/>
            <w:hideMark/>
          </w:tcPr>
          <w:p w14:paraId="688D4EA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28.1</w:t>
            </w:r>
          </w:p>
        </w:tc>
        <w:tc>
          <w:tcPr>
            <w:tcW w:w="0" w:type="auto"/>
            <w:hideMark/>
          </w:tcPr>
          <w:p w14:paraId="1010884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0.07</w:t>
            </w:r>
          </w:p>
        </w:tc>
      </w:tr>
      <w:tr w:rsidR="003B2681" w:rsidRPr="00EF3D11" w14:paraId="12AA54CC" w14:textId="77777777" w:rsidTr="008608DC">
        <w:tc>
          <w:tcPr>
            <w:tcW w:w="0" w:type="auto"/>
            <w:hideMark/>
          </w:tcPr>
          <w:p w14:paraId="41F2FE0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2023</w:t>
            </w:r>
          </w:p>
        </w:tc>
        <w:tc>
          <w:tcPr>
            <w:tcW w:w="0" w:type="auto"/>
            <w:hideMark/>
          </w:tcPr>
          <w:p w14:paraId="22092E3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420,457</w:t>
            </w:r>
          </w:p>
        </w:tc>
        <w:tc>
          <w:tcPr>
            <w:tcW w:w="0" w:type="auto"/>
            <w:hideMark/>
          </w:tcPr>
          <w:p w14:paraId="553EA04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–98,238</w:t>
            </w:r>
          </w:p>
        </w:tc>
        <w:tc>
          <w:tcPr>
            <w:tcW w:w="0" w:type="auto"/>
            <w:hideMark/>
          </w:tcPr>
          <w:p w14:paraId="5E97119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–54.9</w:t>
            </w:r>
          </w:p>
        </w:tc>
        <w:tc>
          <w:tcPr>
            <w:tcW w:w="0" w:type="auto"/>
            <w:hideMark/>
          </w:tcPr>
          <w:p w14:paraId="648AB33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23.2</w:t>
            </w:r>
          </w:p>
        </w:tc>
        <w:tc>
          <w:tcPr>
            <w:tcW w:w="0" w:type="auto"/>
            <w:hideMark/>
          </w:tcPr>
          <w:p w14:paraId="380AD56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–23.4</w:t>
            </w:r>
          </w:p>
        </w:tc>
      </w:tr>
      <w:tr w:rsidR="003B2681" w:rsidRPr="00EF3D11" w14:paraId="360951B2" w14:textId="77777777" w:rsidTr="008608DC">
        <w:tc>
          <w:tcPr>
            <w:tcW w:w="0" w:type="auto"/>
            <w:hideMark/>
          </w:tcPr>
          <w:p w14:paraId="2B83D14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lastRenderedPageBreak/>
              <w:t>2024</w:t>
            </w:r>
          </w:p>
        </w:tc>
        <w:tc>
          <w:tcPr>
            <w:tcW w:w="0" w:type="auto"/>
            <w:hideMark/>
          </w:tcPr>
          <w:p w14:paraId="7B0163D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394,879</w:t>
            </w:r>
          </w:p>
        </w:tc>
        <w:tc>
          <w:tcPr>
            <w:tcW w:w="0" w:type="auto"/>
            <w:hideMark/>
          </w:tcPr>
          <w:p w14:paraId="7F602C6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–24,029</w:t>
            </w:r>
          </w:p>
        </w:tc>
        <w:tc>
          <w:tcPr>
            <w:tcW w:w="0" w:type="auto"/>
            <w:hideMark/>
          </w:tcPr>
          <w:p w14:paraId="2793A06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–15.7</w:t>
            </w:r>
          </w:p>
        </w:tc>
        <w:tc>
          <w:tcPr>
            <w:tcW w:w="0" w:type="auto"/>
            <w:hideMark/>
          </w:tcPr>
          <w:p w14:paraId="657DE33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28.9</w:t>
            </w:r>
          </w:p>
        </w:tc>
        <w:tc>
          <w:tcPr>
            <w:tcW w:w="0" w:type="auto"/>
            <w:hideMark/>
          </w:tcPr>
          <w:p w14:paraId="2983881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–6.1</w:t>
            </w:r>
          </w:p>
        </w:tc>
      </w:tr>
    </w:tbl>
    <w:p w14:paraId="1E8FE3FF"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Gross margins have been </w:t>
      </w:r>
      <w:proofErr w:type="gramStart"/>
      <w:r w:rsidRPr="00EF3D11">
        <w:rPr>
          <w:rFonts w:ascii="Arial" w:hAnsi="Arial" w:cs="Arial"/>
          <w:sz w:val="24"/>
          <w:szCs w:val="24"/>
        </w:rPr>
        <w:t>fairly constant</w:t>
      </w:r>
      <w:proofErr w:type="gramEnd"/>
      <w:r w:rsidRPr="00EF3D11">
        <w:rPr>
          <w:rFonts w:ascii="Arial" w:hAnsi="Arial" w:cs="Arial"/>
          <w:sz w:val="24"/>
          <w:szCs w:val="24"/>
        </w:rPr>
        <w:t xml:space="preserve"> at about 28-</w:t>
      </w:r>
      <w:proofErr w:type="gramStart"/>
      <w:r w:rsidRPr="00EF3D11">
        <w:rPr>
          <w:rFonts w:ascii="Arial" w:hAnsi="Arial" w:cs="Arial"/>
          <w:sz w:val="24"/>
          <w:szCs w:val="24"/>
        </w:rPr>
        <w:t>29</w:t>
      </w:r>
      <w:proofErr w:type="gramEnd"/>
      <w:r w:rsidRPr="00EF3D11">
        <w:rPr>
          <w:rFonts w:ascii="Arial" w:hAnsi="Arial" w:cs="Arial"/>
          <w:sz w:val="24"/>
          <w:szCs w:val="24"/>
        </w:rPr>
        <w:t xml:space="preserve"> signifying that the company has been able to have certain efficiency in terms of the cost of sales even though revenues have been dropping. Nevertheless, the operating margins have fallen to -3.9% in 2024</w:t>
      </w:r>
      <w:proofErr w:type="gramStart"/>
      <w:r w:rsidRPr="00EF3D11">
        <w:rPr>
          <w:rFonts w:ascii="Arial" w:hAnsi="Arial" w:cs="Arial"/>
          <w:sz w:val="24"/>
          <w:szCs w:val="24"/>
        </w:rPr>
        <w:t>, as</w:t>
      </w:r>
      <w:proofErr w:type="gramEnd"/>
      <w:r w:rsidRPr="00EF3D11">
        <w:rPr>
          <w:rFonts w:ascii="Arial" w:hAnsi="Arial" w:cs="Arial"/>
          <w:sz w:val="24"/>
          <w:szCs w:val="24"/>
        </w:rPr>
        <w:t xml:space="preserve"> compared to 6.2 in 2020, mostly because of the increased operating costs, impairments, and restructuring costs (KPMG, 2023).</w:t>
      </w:r>
    </w:p>
    <w:p w14:paraId="112A684F"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shareholder value has </w:t>
      </w:r>
      <w:proofErr w:type="gramStart"/>
      <w:r w:rsidRPr="00EF3D11">
        <w:rPr>
          <w:rFonts w:ascii="Arial" w:hAnsi="Arial" w:cs="Arial"/>
          <w:sz w:val="24"/>
          <w:szCs w:val="24"/>
        </w:rPr>
        <w:t>been decreased</w:t>
      </w:r>
      <w:proofErr w:type="gramEnd"/>
      <w:r w:rsidRPr="00EF3D11">
        <w:rPr>
          <w:rFonts w:ascii="Arial" w:hAnsi="Arial" w:cs="Arial"/>
          <w:sz w:val="24"/>
          <w:szCs w:val="24"/>
        </w:rPr>
        <w:t xml:space="preserve"> significantly as seen in the </w:t>
      </w:r>
      <w:proofErr w:type="gramStart"/>
      <w:r w:rsidRPr="00EF3D11">
        <w:rPr>
          <w:rFonts w:ascii="Arial" w:hAnsi="Arial" w:cs="Arial"/>
          <w:sz w:val="24"/>
          <w:szCs w:val="24"/>
        </w:rPr>
        <w:t>ROE that has</w:t>
      </w:r>
      <w:proofErr w:type="gramEnd"/>
      <w:r w:rsidRPr="00EF3D11">
        <w:rPr>
          <w:rFonts w:ascii="Arial" w:hAnsi="Arial" w:cs="Arial"/>
          <w:sz w:val="24"/>
          <w:szCs w:val="24"/>
        </w:rPr>
        <w:t xml:space="preserve"> worsened </w:t>
      </w:r>
      <w:proofErr w:type="gramStart"/>
      <w:r w:rsidRPr="00EF3D11">
        <w:rPr>
          <w:rFonts w:ascii="Arial" w:hAnsi="Arial" w:cs="Arial"/>
          <w:sz w:val="24"/>
          <w:szCs w:val="24"/>
        </w:rPr>
        <w:t>to-15.7</w:t>
      </w:r>
      <w:proofErr w:type="gramEnd"/>
      <w:r w:rsidRPr="00EF3D11">
        <w:rPr>
          <w:rFonts w:ascii="Arial" w:hAnsi="Arial" w:cs="Arial"/>
          <w:sz w:val="24"/>
          <w:szCs w:val="24"/>
        </w:rPr>
        <w:t xml:space="preserve"> instead of 12.3%. The 2023 sharp </w:t>
      </w:r>
      <w:proofErr w:type="gramStart"/>
      <w:r w:rsidRPr="00EF3D11">
        <w:rPr>
          <w:rFonts w:ascii="Arial" w:hAnsi="Arial" w:cs="Arial"/>
          <w:sz w:val="24"/>
          <w:szCs w:val="24"/>
        </w:rPr>
        <w:t>setback</w:t>
      </w:r>
      <w:proofErr w:type="gramEnd"/>
      <w:r w:rsidRPr="00EF3D11">
        <w:rPr>
          <w:rFonts w:ascii="Arial" w:hAnsi="Arial" w:cs="Arial"/>
          <w:sz w:val="24"/>
          <w:szCs w:val="24"/>
        </w:rPr>
        <w:t xml:space="preserve"> in terms of losses implies that the company is structurally weak in terms of cost management, declining market demand, and non-performing assets. Although 2024 is improving as against 2023 in terms of net loss, the trend is unfavorable, and corrective measures should be resorted to urgently.</w:t>
      </w:r>
    </w:p>
    <w:p w14:paraId="22F05ACB"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2.2 Liquidity Analysis</w:t>
      </w:r>
    </w:p>
    <w:p w14:paraId="79D7EB25"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Liquidity ratios provide insight into GE’s ability to meet short-term obligations. Key indicators for 2020–2024 are:</w:t>
      </w:r>
    </w:p>
    <w:tbl>
      <w:tblPr>
        <w:tblStyle w:val="TableGrid"/>
        <w:tblW w:w="0" w:type="auto"/>
        <w:tblLook w:val="04A0" w:firstRow="1" w:lastRow="0" w:firstColumn="1" w:lastColumn="0" w:noHBand="0" w:noVBand="1"/>
      </w:tblPr>
      <w:tblGrid>
        <w:gridCol w:w="750"/>
        <w:gridCol w:w="1750"/>
        <w:gridCol w:w="1550"/>
        <w:gridCol w:w="1470"/>
      </w:tblGrid>
      <w:tr w:rsidR="003B2681" w:rsidRPr="00EF3D11" w14:paraId="1E095A4C" w14:textId="77777777" w:rsidTr="008608DC">
        <w:tc>
          <w:tcPr>
            <w:tcW w:w="0" w:type="auto"/>
            <w:hideMark/>
          </w:tcPr>
          <w:p w14:paraId="6B64DCA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Year</w:t>
            </w:r>
          </w:p>
        </w:tc>
        <w:tc>
          <w:tcPr>
            <w:tcW w:w="0" w:type="auto"/>
            <w:hideMark/>
          </w:tcPr>
          <w:p w14:paraId="177105C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Current Ratio</w:t>
            </w:r>
          </w:p>
        </w:tc>
        <w:tc>
          <w:tcPr>
            <w:tcW w:w="0" w:type="auto"/>
            <w:hideMark/>
          </w:tcPr>
          <w:p w14:paraId="65F83FF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Quick Ratio</w:t>
            </w:r>
          </w:p>
        </w:tc>
        <w:tc>
          <w:tcPr>
            <w:tcW w:w="0" w:type="auto"/>
            <w:hideMark/>
          </w:tcPr>
          <w:p w14:paraId="7FBA02C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Cash Ratio</w:t>
            </w:r>
          </w:p>
        </w:tc>
      </w:tr>
      <w:tr w:rsidR="003B2681" w:rsidRPr="00EF3D11" w14:paraId="77B006C8" w14:textId="77777777" w:rsidTr="008608DC">
        <w:tc>
          <w:tcPr>
            <w:tcW w:w="0" w:type="auto"/>
            <w:hideMark/>
          </w:tcPr>
          <w:p w14:paraId="67D9CC8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2020</w:t>
            </w:r>
          </w:p>
        </w:tc>
        <w:tc>
          <w:tcPr>
            <w:tcW w:w="0" w:type="auto"/>
            <w:hideMark/>
          </w:tcPr>
          <w:p w14:paraId="29885CB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1.82</w:t>
            </w:r>
          </w:p>
        </w:tc>
        <w:tc>
          <w:tcPr>
            <w:tcW w:w="0" w:type="auto"/>
            <w:hideMark/>
          </w:tcPr>
          <w:p w14:paraId="6F59B41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1.15</w:t>
            </w:r>
          </w:p>
        </w:tc>
        <w:tc>
          <w:tcPr>
            <w:tcW w:w="0" w:type="auto"/>
            <w:hideMark/>
          </w:tcPr>
          <w:p w14:paraId="5F5FC25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0.32</w:t>
            </w:r>
          </w:p>
        </w:tc>
      </w:tr>
      <w:tr w:rsidR="003B2681" w:rsidRPr="00EF3D11" w14:paraId="16307882" w14:textId="77777777" w:rsidTr="008608DC">
        <w:tc>
          <w:tcPr>
            <w:tcW w:w="0" w:type="auto"/>
            <w:hideMark/>
          </w:tcPr>
          <w:p w14:paraId="37010BC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2021</w:t>
            </w:r>
          </w:p>
        </w:tc>
        <w:tc>
          <w:tcPr>
            <w:tcW w:w="0" w:type="auto"/>
            <w:hideMark/>
          </w:tcPr>
          <w:p w14:paraId="3E2EE66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1.56</w:t>
            </w:r>
          </w:p>
        </w:tc>
        <w:tc>
          <w:tcPr>
            <w:tcW w:w="0" w:type="auto"/>
            <w:hideMark/>
          </w:tcPr>
          <w:p w14:paraId="284AE8D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0.94</w:t>
            </w:r>
          </w:p>
        </w:tc>
        <w:tc>
          <w:tcPr>
            <w:tcW w:w="0" w:type="auto"/>
            <w:hideMark/>
          </w:tcPr>
          <w:p w14:paraId="5CD2987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0.18</w:t>
            </w:r>
          </w:p>
        </w:tc>
      </w:tr>
      <w:tr w:rsidR="003B2681" w:rsidRPr="00EF3D11" w14:paraId="24FE4205" w14:textId="77777777" w:rsidTr="008608DC">
        <w:tc>
          <w:tcPr>
            <w:tcW w:w="0" w:type="auto"/>
            <w:hideMark/>
          </w:tcPr>
          <w:p w14:paraId="5C8BD43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2022</w:t>
            </w:r>
          </w:p>
        </w:tc>
        <w:tc>
          <w:tcPr>
            <w:tcW w:w="0" w:type="auto"/>
            <w:hideMark/>
          </w:tcPr>
          <w:p w14:paraId="7B5821C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1.56</w:t>
            </w:r>
          </w:p>
        </w:tc>
        <w:tc>
          <w:tcPr>
            <w:tcW w:w="0" w:type="auto"/>
            <w:hideMark/>
          </w:tcPr>
          <w:p w14:paraId="7F14E88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0.91</w:t>
            </w:r>
          </w:p>
        </w:tc>
        <w:tc>
          <w:tcPr>
            <w:tcW w:w="0" w:type="auto"/>
            <w:hideMark/>
          </w:tcPr>
          <w:p w14:paraId="602921B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0.20</w:t>
            </w:r>
          </w:p>
        </w:tc>
      </w:tr>
      <w:tr w:rsidR="003B2681" w:rsidRPr="00EF3D11" w14:paraId="7B21C2F0" w14:textId="77777777" w:rsidTr="008608DC">
        <w:tc>
          <w:tcPr>
            <w:tcW w:w="0" w:type="auto"/>
            <w:hideMark/>
          </w:tcPr>
          <w:p w14:paraId="49376E9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2023</w:t>
            </w:r>
          </w:p>
        </w:tc>
        <w:tc>
          <w:tcPr>
            <w:tcW w:w="0" w:type="auto"/>
            <w:hideMark/>
          </w:tcPr>
          <w:p w14:paraId="6E9985B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1.61</w:t>
            </w:r>
          </w:p>
        </w:tc>
        <w:tc>
          <w:tcPr>
            <w:tcW w:w="0" w:type="auto"/>
            <w:hideMark/>
          </w:tcPr>
          <w:p w14:paraId="12ABC3E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0.91</w:t>
            </w:r>
          </w:p>
        </w:tc>
        <w:tc>
          <w:tcPr>
            <w:tcW w:w="0" w:type="auto"/>
            <w:hideMark/>
          </w:tcPr>
          <w:p w14:paraId="628749A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0.26</w:t>
            </w:r>
          </w:p>
        </w:tc>
      </w:tr>
      <w:tr w:rsidR="003B2681" w:rsidRPr="00EF3D11" w14:paraId="0F9A9EE5" w14:textId="77777777" w:rsidTr="008608DC">
        <w:tc>
          <w:tcPr>
            <w:tcW w:w="0" w:type="auto"/>
            <w:hideMark/>
          </w:tcPr>
          <w:p w14:paraId="59407CA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2024</w:t>
            </w:r>
          </w:p>
        </w:tc>
        <w:tc>
          <w:tcPr>
            <w:tcW w:w="0" w:type="auto"/>
            <w:hideMark/>
          </w:tcPr>
          <w:p w14:paraId="19FA07A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1.53</w:t>
            </w:r>
          </w:p>
        </w:tc>
        <w:tc>
          <w:tcPr>
            <w:tcW w:w="0" w:type="auto"/>
            <w:hideMark/>
          </w:tcPr>
          <w:p w14:paraId="280553D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0.84</w:t>
            </w:r>
          </w:p>
        </w:tc>
        <w:tc>
          <w:tcPr>
            <w:tcW w:w="0" w:type="auto"/>
            <w:hideMark/>
          </w:tcPr>
          <w:p w14:paraId="6F6EFAD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0.17</w:t>
            </w:r>
          </w:p>
        </w:tc>
      </w:tr>
    </w:tbl>
    <w:p w14:paraId="39CE6A12" w14:textId="77777777" w:rsidR="003B2681" w:rsidRPr="00EF3D11" w:rsidRDefault="003B2681" w:rsidP="003B2681">
      <w:pPr>
        <w:spacing w:line="360" w:lineRule="auto"/>
        <w:rPr>
          <w:rFonts w:ascii="Arial" w:hAnsi="Arial" w:cs="Arial"/>
          <w:sz w:val="24"/>
          <w:szCs w:val="24"/>
        </w:rPr>
      </w:pPr>
    </w:p>
    <w:p w14:paraId="3EC7F4D4" w14:textId="4E80548D"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current ratio has decreased by 1.82 in 2020 to 1.53 in 2024, which means that there is a low buffer capacity against short-term liabilities (Investopedia, 2024). The fact that the quick ratio </w:t>
      </w:r>
      <w:proofErr w:type="gramStart"/>
      <w:r w:rsidRPr="00EF3D11">
        <w:rPr>
          <w:rFonts w:ascii="Arial" w:hAnsi="Arial" w:cs="Arial"/>
          <w:sz w:val="24"/>
          <w:szCs w:val="24"/>
        </w:rPr>
        <w:t>had</w:t>
      </w:r>
      <w:proofErr w:type="gramEnd"/>
      <w:r w:rsidRPr="00EF3D11">
        <w:rPr>
          <w:rFonts w:ascii="Arial" w:hAnsi="Arial" w:cs="Arial"/>
          <w:sz w:val="24"/>
          <w:szCs w:val="24"/>
        </w:rPr>
        <w:t xml:space="preserve"> gone down to 0.84 indicates that the company is more dependent on inventories to pay off the due amounts, which implies that there is a risk of the company running out of liquidity </w:t>
      </w:r>
      <w:proofErr w:type="gramStart"/>
      <w:r w:rsidRPr="00EF3D11">
        <w:rPr>
          <w:rFonts w:ascii="Arial" w:hAnsi="Arial" w:cs="Arial"/>
          <w:sz w:val="24"/>
          <w:szCs w:val="24"/>
        </w:rPr>
        <w:t>in the event that</w:t>
      </w:r>
      <w:proofErr w:type="gramEnd"/>
      <w:r w:rsidRPr="00EF3D11">
        <w:rPr>
          <w:rFonts w:ascii="Arial" w:hAnsi="Arial" w:cs="Arial"/>
          <w:sz w:val="24"/>
          <w:szCs w:val="24"/>
        </w:rPr>
        <w:t xml:space="preserve"> stock cannot be sold within a short period. Cash holdings have declined by </w:t>
      </w:r>
      <w:r w:rsidR="00222693">
        <w:rPr>
          <w:rFonts w:ascii="Arial" w:hAnsi="Arial" w:cs="Arial"/>
          <w:sz w:val="24"/>
          <w:szCs w:val="24"/>
        </w:rPr>
        <w:t>£</w:t>
      </w:r>
      <w:r w:rsidRPr="00EF3D11">
        <w:rPr>
          <w:rFonts w:ascii="Arial" w:hAnsi="Arial" w:cs="Arial"/>
          <w:sz w:val="24"/>
          <w:szCs w:val="24"/>
        </w:rPr>
        <w:t xml:space="preserve">57 billion to </w:t>
      </w:r>
      <w:r w:rsidR="00222693">
        <w:rPr>
          <w:rFonts w:ascii="Arial" w:hAnsi="Arial" w:cs="Arial"/>
          <w:sz w:val="24"/>
          <w:szCs w:val="24"/>
        </w:rPr>
        <w:t>£</w:t>
      </w:r>
      <w:r w:rsidRPr="00EF3D11">
        <w:rPr>
          <w:rFonts w:ascii="Arial" w:hAnsi="Arial" w:cs="Arial"/>
          <w:sz w:val="24"/>
          <w:szCs w:val="24"/>
        </w:rPr>
        <w:t xml:space="preserve">27 </w:t>
      </w:r>
      <w:proofErr w:type="gramStart"/>
      <w:r w:rsidRPr="00EF3D11">
        <w:rPr>
          <w:rFonts w:ascii="Arial" w:hAnsi="Arial" w:cs="Arial"/>
          <w:sz w:val="24"/>
          <w:szCs w:val="24"/>
        </w:rPr>
        <w:t>billion</w:t>
      </w:r>
      <w:proofErr w:type="gramEnd"/>
      <w:r w:rsidRPr="00EF3D11">
        <w:rPr>
          <w:rFonts w:ascii="Arial" w:hAnsi="Arial" w:cs="Arial"/>
          <w:sz w:val="24"/>
          <w:szCs w:val="24"/>
        </w:rPr>
        <w:t xml:space="preserve"> which has been reflecting </w:t>
      </w:r>
      <w:proofErr w:type="gramStart"/>
      <w:r w:rsidRPr="00EF3D11">
        <w:rPr>
          <w:rFonts w:ascii="Arial" w:hAnsi="Arial" w:cs="Arial"/>
          <w:sz w:val="24"/>
          <w:szCs w:val="24"/>
        </w:rPr>
        <w:t>strain</w:t>
      </w:r>
      <w:proofErr w:type="gramEnd"/>
      <w:r w:rsidRPr="00EF3D11">
        <w:rPr>
          <w:rFonts w:ascii="Arial" w:hAnsi="Arial" w:cs="Arial"/>
          <w:sz w:val="24"/>
          <w:szCs w:val="24"/>
        </w:rPr>
        <w:t xml:space="preserve"> albeit positive operating cash flows. The difference </w:t>
      </w:r>
      <w:r w:rsidRPr="00EF3D11">
        <w:rPr>
          <w:rFonts w:ascii="Arial" w:hAnsi="Arial" w:cs="Arial"/>
          <w:sz w:val="24"/>
          <w:szCs w:val="24"/>
        </w:rPr>
        <w:lastRenderedPageBreak/>
        <w:t>between profitability and cash flow indicates that the bank relies on receivables and highlights the need to manage working capital successfully (Brigham and Ehrhardt, 2022).</w:t>
      </w:r>
    </w:p>
    <w:p w14:paraId="18083D03"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2.3 Efficiency Analysis</w:t>
      </w:r>
    </w:p>
    <w:p w14:paraId="0F19675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Operational efficiency is crucial in converting assets into revenue and cash flow. GE’s key efficiency ratios over five years are:</w:t>
      </w:r>
    </w:p>
    <w:tbl>
      <w:tblPr>
        <w:tblStyle w:val="TableGrid"/>
        <w:tblW w:w="0" w:type="auto"/>
        <w:tblLook w:val="04A0" w:firstRow="1" w:lastRow="0" w:firstColumn="1" w:lastColumn="0" w:noHBand="0" w:noVBand="1"/>
      </w:tblPr>
      <w:tblGrid>
        <w:gridCol w:w="750"/>
        <w:gridCol w:w="2199"/>
        <w:gridCol w:w="1992"/>
        <w:gridCol w:w="1645"/>
        <w:gridCol w:w="2430"/>
      </w:tblGrid>
      <w:tr w:rsidR="003B2681" w:rsidRPr="00EF3D11" w14:paraId="00F88E5F" w14:textId="77777777" w:rsidTr="008608DC">
        <w:tc>
          <w:tcPr>
            <w:tcW w:w="0" w:type="auto"/>
            <w:hideMark/>
          </w:tcPr>
          <w:p w14:paraId="5C9D765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Year</w:t>
            </w:r>
          </w:p>
        </w:tc>
        <w:tc>
          <w:tcPr>
            <w:tcW w:w="0" w:type="auto"/>
            <w:hideMark/>
          </w:tcPr>
          <w:p w14:paraId="1FD2321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Inventory Turnover</w:t>
            </w:r>
          </w:p>
        </w:tc>
        <w:tc>
          <w:tcPr>
            <w:tcW w:w="0" w:type="auto"/>
            <w:hideMark/>
          </w:tcPr>
          <w:p w14:paraId="5DD761B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Receivable Days</w:t>
            </w:r>
          </w:p>
        </w:tc>
        <w:tc>
          <w:tcPr>
            <w:tcW w:w="0" w:type="auto"/>
            <w:hideMark/>
          </w:tcPr>
          <w:p w14:paraId="2ACC4B0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Payable Days</w:t>
            </w:r>
          </w:p>
        </w:tc>
        <w:tc>
          <w:tcPr>
            <w:tcW w:w="0" w:type="auto"/>
            <w:hideMark/>
          </w:tcPr>
          <w:p w14:paraId="7A67F39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Working-Capital Days</w:t>
            </w:r>
          </w:p>
        </w:tc>
      </w:tr>
      <w:tr w:rsidR="003B2681" w:rsidRPr="00EF3D11" w14:paraId="0DDADDAA" w14:textId="77777777" w:rsidTr="008608DC">
        <w:tc>
          <w:tcPr>
            <w:tcW w:w="0" w:type="auto"/>
            <w:hideMark/>
          </w:tcPr>
          <w:p w14:paraId="5A7A941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2020</w:t>
            </w:r>
          </w:p>
        </w:tc>
        <w:tc>
          <w:tcPr>
            <w:tcW w:w="0" w:type="auto"/>
            <w:hideMark/>
          </w:tcPr>
          <w:p w14:paraId="2B8F744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3.64</w:t>
            </w:r>
          </w:p>
        </w:tc>
        <w:tc>
          <w:tcPr>
            <w:tcW w:w="0" w:type="auto"/>
            <w:hideMark/>
          </w:tcPr>
          <w:p w14:paraId="396C586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77</w:t>
            </w:r>
          </w:p>
        </w:tc>
        <w:tc>
          <w:tcPr>
            <w:tcW w:w="0" w:type="auto"/>
            <w:hideMark/>
          </w:tcPr>
          <w:p w14:paraId="0C8933E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48</w:t>
            </w:r>
          </w:p>
        </w:tc>
        <w:tc>
          <w:tcPr>
            <w:tcW w:w="0" w:type="auto"/>
            <w:hideMark/>
          </w:tcPr>
          <w:p w14:paraId="0697EFE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+29</w:t>
            </w:r>
          </w:p>
        </w:tc>
      </w:tr>
      <w:tr w:rsidR="003B2681" w:rsidRPr="00EF3D11" w14:paraId="1BC0144E" w14:textId="77777777" w:rsidTr="008608DC">
        <w:tc>
          <w:tcPr>
            <w:tcW w:w="0" w:type="auto"/>
            <w:hideMark/>
          </w:tcPr>
          <w:p w14:paraId="2076827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2021</w:t>
            </w:r>
          </w:p>
        </w:tc>
        <w:tc>
          <w:tcPr>
            <w:tcW w:w="0" w:type="auto"/>
            <w:hideMark/>
          </w:tcPr>
          <w:p w14:paraId="7D77386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3.19</w:t>
            </w:r>
          </w:p>
        </w:tc>
        <w:tc>
          <w:tcPr>
            <w:tcW w:w="0" w:type="auto"/>
            <w:hideMark/>
          </w:tcPr>
          <w:p w14:paraId="61BB1A2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78</w:t>
            </w:r>
          </w:p>
        </w:tc>
        <w:tc>
          <w:tcPr>
            <w:tcW w:w="0" w:type="auto"/>
            <w:hideMark/>
          </w:tcPr>
          <w:p w14:paraId="61E77BD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56</w:t>
            </w:r>
          </w:p>
        </w:tc>
        <w:tc>
          <w:tcPr>
            <w:tcW w:w="0" w:type="auto"/>
            <w:hideMark/>
          </w:tcPr>
          <w:p w14:paraId="08861AD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+22</w:t>
            </w:r>
          </w:p>
        </w:tc>
      </w:tr>
      <w:tr w:rsidR="003B2681" w:rsidRPr="00EF3D11" w14:paraId="52C824BD" w14:textId="77777777" w:rsidTr="008608DC">
        <w:tc>
          <w:tcPr>
            <w:tcW w:w="0" w:type="auto"/>
            <w:hideMark/>
          </w:tcPr>
          <w:p w14:paraId="32D7AD4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2022</w:t>
            </w:r>
          </w:p>
        </w:tc>
        <w:tc>
          <w:tcPr>
            <w:tcW w:w="0" w:type="auto"/>
            <w:hideMark/>
          </w:tcPr>
          <w:p w14:paraId="171F7EC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2.79</w:t>
            </w:r>
          </w:p>
        </w:tc>
        <w:tc>
          <w:tcPr>
            <w:tcW w:w="0" w:type="auto"/>
            <w:hideMark/>
          </w:tcPr>
          <w:p w14:paraId="2E50113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75</w:t>
            </w:r>
          </w:p>
        </w:tc>
        <w:tc>
          <w:tcPr>
            <w:tcW w:w="0" w:type="auto"/>
            <w:hideMark/>
          </w:tcPr>
          <w:p w14:paraId="50B0E17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65</w:t>
            </w:r>
          </w:p>
        </w:tc>
        <w:tc>
          <w:tcPr>
            <w:tcW w:w="0" w:type="auto"/>
            <w:hideMark/>
          </w:tcPr>
          <w:p w14:paraId="2CC6697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w:t>
            </w:r>
          </w:p>
        </w:tc>
      </w:tr>
      <w:tr w:rsidR="003B2681" w:rsidRPr="00EF3D11" w14:paraId="696BF492" w14:textId="77777777" w:rsidTr="008608DC">
        <w:tc>
          <w:tcPr>
            <w:tcW w:w="0" w:type="auto"/>
            <w:hideMark/>
          </w:tcPr>
          <w:p w14:paraId="633636D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2023</w:t>
            </w:r>
          </w:p>
        </w:tc>
        <w:tc>
          <w:tcPr>
            <w:tcW w:w="0" w:type="auto"/>
            <w:hideMark/>
          </w:tcPr>
          <w:p w14:paraId="31E270DB"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3.65</w:t>
            </w:r>
          </w:p>
        </w:tc>
        <w:tc>
          <w:tcPr>
            <w:tcW w:w="0" w:type="auto"/>
            <w:hideMark/>
          </w:tcPr>
          <w:p w14:paraId="5710557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98</w:t>
            </w:r>
          </w:p>
        </w:tc>
        <w:tc>
          <w:tcPr>
            <w:tcW w:w="0" w:type="auto"/>
            <w:hideMark/>
          </w:tcPr>
          <w:p w14:paraId="28AC13F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61</w:t>
            </w:r>
          </w:p>
        </w:tc>
        <w:tc>
          <w:tcPr>
            <w:tcW w:w="0" w:type="auto"/>
            <w:hideMark/>
          </w:tcPr>
          <w:p w14:paraId="6C85F09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+37</w:t>
            </w:r>
          </w:p>
        </w:tc>
      </w:tr>
      <w:tr w:rsidR="003B2681" w:rsidRPr="00EF3D11" w14:paraId="4ED3AEE7" w14:textId="77777777" w:rsidTr="008608DC">
        <w:tc>
          <w:tcPr>
            <w:tcW w:w="0" w:type="auto"/>
            <w:hideMark/>
          </w:tcPr>
          <w:p w14:paraId="6D9280E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2024</w:t>
            </w:r>
          </w:p>
        </w:tc>
        <w:tc>
          <w:tcPr>
            <w:tcW w:w="0" w:type="auto"/>
            <w:hideMark/>
          </w:tcPr>
          <w:p w14:paraId="2867B4B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3.54</w:t>
            </w:r>
          </w:p>
        </w:tc>
        <w:tc>
          <w:tcPr>
            <w:tcW w:w="0" w:type="auto"/>
            <w:hideMark/>
          </w:tcPr>
          <w:p w14:paraId="2D8BF2E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105</w:t>
            </w:r>
          </w:p>
        </w:tc>
        <w:tc>
          <w:tcPr>
            <w:tcW w:w="0" w:type="auto"/>
            <w:hideMark/>
          </w:tcPr>
          <w:p w14:paraId="6CF21A0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67</w:t>
            </w:r>
          </w:p>
        </w:tc>
        <w:tc>
          <w:tcPr>
            <w:tcW w:w="0" w:type="auto"/>
            <w:hideMark/>
          </w:tcPr>
          <w:p w14:paraId="1EDE3CE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+38</w:t>
            </w:r>
          </w:p>
        </w:tc>
      </w:tr>
    </w:tbl>
    <w:p w14:paraId="29E9C237" w14:textId="77777777" w:rsidR="003B2681" w:rsidRPr="00EF3D11" w:rsidRDefault="003B2681" w:rsidP="003B2681">
      <w:pPr>
        <w:spacing w:line="360" w:lineRule="auto"/>
        <w:rPr>
          <w:rFonts w:ascii="Arial" w:hAnsi="Arial" w:cs="Arial"/>
          <w:sz w:val="24"/>
          <w:szCs w:val="24"/>
        </w:rPr>
      </w:pPr>
    </w:p>
    <w:p w14:paraId="07CC79D9"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collection of receivables has declined drastically to 105 days in the year </w:t>
      </w:r>
      <w:proofErr w:type="gramStart"/>
      <w:r w:rsidRPr="00EF3D11">
        <w:rPr>
          <w:rFonts w:ascii="Arial" w:hAnsi="Arial" w:cs="Arial"/>
          <w:sz w:val="24"/>
          <w:szCs w:val="24"/>
        </w:rPr>
        <w:t>2024</w:t>
      </w:r>
      <w:proofErr w:type="gramEnd"/>
      <w:r w:rsidRPr="00EF3D11">
        <w:rPr>
          <w:rFonts w:ascii="Arial" w:hAnsi="Arial" w:cs="Arial"/>
          <w:sz w:val="24"/>
          <w:szCs w:val="24"/>
        </w:rPr>
        <w:t xml:space="preserve"> indicating poor management of credit. The inventory turnover is at 3.54x which is lower than the industry </w:t>
      </w:r>
      <w:proofErr w:type="gramStart"/>
      <w:r w:rsidRPr="00EF3D11">
        <w:rPr>
          <w:rFonts w:ascii="Arial" w:hAnsi="Arial" w:cs="Arial"/>
          <w:sz w:val="24"/>
          <w:szCs w:val="24"/>
        </w:rPr>
        <w:t>average</w:t>
      </w:r>
      <w:proofErr w:type="gramEnd"/>
      <w:r w:rsidRPr="00EF3D11">
        <w:rPr>
          <w:rFonts w:ascii="Arial" w:hAnsi="Arial" w:cs="Arial"/>
          <w:sz w:val="24"/>
          <w:szCs w:val="24"/>
        </w:rPr>
        <w:t xml:space="preserve"> indicating inefficient inventory management and possibility of excess stocking of </w:t>
      </w:r>
      <w:proofErr w:type="gramStart"/>
      <w:r w:rsidRPr="00EF3D11">
        <w:rPr>
          <w:rFonts w:ascii="Arial" w:hAnsi="Arial" w:cs="Arial"/>
          <w:sz w:val="24"/>
          <w:szCs w:val="24"/>
        </w:rPr>
        <w:t>slow moving</w:t>
      </w:r>
      <w:proofErr w:type="gramEnd"/>
      <w:r w:rsidRPr="00EF3D11">
        <w:rPr>
          <w:rFonts w:ascii="Arial" w:hAnsi="Arial" w:cs="Arial"/>
          <w:sz w:val="24"/>
          <w:szCs w:val="24"/>
        </w:rPr>
        <w:t xml:space="preserve"> items. The cash conversion cycle (days working capital) widened to 38 days, which made liquidity pressure and frozen capital in working assets.</w:t>
      </w:r>
    </w:p>
    <w:p w14:paraId="4A6B2058"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2.4 Gearing and Capital Structure</w:t>
      </w:r>
    </w:p>
    <w:p w14:paraId="0AC4B7BF"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GE’s capital structure has become increasingly leveraged, intensifying financial risk. Key indicators:</w:t>
      </w:r>
    </w:p>
    <w:tbl>
      <w:tblPr>
        <w:tblStyle w:val="TableGrid"/>
        <w:tblW w:w="0" w:type="auto"/>
        <w:tblLook w:val="04A0" w:firstRow="1" w:lastRow="0" w:firstColumn="1" w:lastColumn="0" w:noHBand="0" w:noVBand="1"/>
      </w:tblPr>
      <w:tblGrid>
        <w:gridCol w:w="750"/>
        <w:gridCol w:w="1870"/>
        <w:gridCol w:w="1416"/>
        <w:gridCol w:w="2244"/>
      </w:tblGrid>
      <w:tr w:rsidR="003B2681" w:rsidRPr="00EF3D11" w14:paraId="561FCA3D" w14:textId="77777777" w:rsidTr="008608DC">
        <w:tc>
          <w:tcPr>
            <w:tcW w:w="0" w:type="auto"/>
            <w:hideMark/>
          </w:tcPr>
          <w:p w14:paraId="37C9E3D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Year</w:t>
            </w:r>
          </w:p>
        </w:tc>
        <w:tc>
          <w:tcPr>
            <w:tcW w:w="0" w:type="auto"/>
            <w:hideMark/>
          </w:tcPr>
          <w:p w14:paraId="5735A31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Debt-to-Equity</w:t>
            </w:r>
          </w:p>
        </w:tc>
        <w:tc>
          <w:tcPr>
            <w:tcW w:w="0" w:type="auto"/>
            <w:hideMark/>
          </w:tcPr>
          <w:p w14:paraId="3FBD8A5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Debt Ratio</w:t>
            </w:r>
          </w:p>
        </w:tc>
        <w:tc>
          <w:tcPr>
            <w:tcW w:w="0" w:type="auto"/>
            <w:hideMark/>
          </w:tcPr>
          <w:p w14:paraId="6571B45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Interest Coverage</w:t>
            </w:r>
          </w:p>
        </w:tc>
      </w:tr>
      <w:tr w:rsidR="003B2681" w:rsidRPr="00EF3D11" w14:paraId="3BB318E2" w14:textId="77777777" w:rsidTr="008608DC">
        <w:tc>
          <w:tcPr>
            <w:tcW w:w="0" w:type="auto"/>
            <w:hideMark/>
          </w:tcPr>
          <w:p w14:paraId="1C9E6A3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2020</w:t>
            </w:r>
          </w:p>
        </w:tc>
        <w:tc>
          <w:tcPr>
            <w:tcW w:w="0" w:type="auto"/>
            <w:hideMark/>
          </w:tcPr>
          <w:p w14:paraId="045CA01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0.63</w:t>
            </w:r>
          </w:p>
        </w:tc>
        <w:tc>
          <w:tcPr>
            <w:tcW w:w="0" w:type="auto"/>
            <w:hideMark/>
          </w:tcPr>
          <w:p w14:paraId="70762E0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0.39</w:t>
            </w:r>
          </w:p>
        </w:tc>
        <w:tc>
          <w:tcPr>
            <w:tcW w:w="0" w:type="auto"/>
            <w:hideMark/>
          </w:tcPr>
          <w:p w14:paraId="00CFB72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26.2</w:t>
            </w:r>
          </w:p>
        </w:tc>
      </w:tr>
      <w:tr w:rsidR="003B2681" w:rsidRPr="00EF3D11" w14:paraId="55D3C45B" w14:textId="77777777" w:rsidTr="008608DC">
        <w:tc>
          <w:tcPr>
            <w:tcW w:w="0" w:type="auto"/>
            <w:hideMark/>
          </w:tcPr>
          <w:p w14:paraId="60CE604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2021</w:t>
            </w:r>
          </w:p>
        </w:tc>
        <w:tc>
          <w:tcPr>
            <w:tcW w:w="0" w:type="auto"/>
            <w:hideMark/>
          </w:tcPr>
          <w:p w14:paraId="685088B7"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0.71</w:t>
            </w:r>
          </w:p>
        </w:tc>
        <w:tc>
          <w:tcPr>
            <w:tcW w:w="0" w:type="auto"/>
            <w:hideMark/>
          </w:tcPr>
          <w:p w14:paraId="7499B72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0.46</w:t>
            </w:r>
          </w:p>
        </w:tc>
        <w:tc>
          <w:tcPr>
            <w:tcW w:w="0" w:type="auto"/>
            <w:hideMark/>
          </w:tcPr>
          <w:p w14:paraId="48148233"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12.1</w:t>
            </w:r>
          </w:p>
        </w:tc>
      </w:tr>
      <w:tr w:rsidR="003B2681" w:rsidRPr="00EF3D11" w14:paraId="3B907D0F" w14:textId="77777777" w:rsidTr="008608DC">
        <w:tc>
          <w:tcPr>
            <w:tcW w:w="0" w:type="auto"/>
            <w:hideMark/>
          </w:tcPr>
          <w:p w14:paraId="3820AB2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lastRenderedPageBreak/>
              <w:t>2022</w:t>
            </w:r>
          </w:p>
        </w:tc>
        <w:tc>
          <w:tcPr>
            <w:tcW w:w="0" w:type="auto"/>
            <w:hideMark/>
          </w:tcPr>
          <w:p w14:paraId="5851E32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0.88</w:t>
            </w:r>
          </w:p>
        </w:tc>
        <w:tc>
          <w:tcPr>
            <w:tcW w:w="0" w:type="auto"/>
            <w:hideMark/>
          </w:tcPr>
          <w:p w14:paraId="588565E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0.47</w:t>
            </w:r>
          </w:p>
        </w:tc>
        <w:tc>
          <w:tcPr>
            <w:tcW w:w="0" w:type="auto"/>
            <w:hideMark/>
          </w:tcPr>
          <w:p w14:paraId="10A2407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6.6</w:t>
            </w:r>
          </w:p>
        </w:tc>
      </w:tr>
      <w:tr w:rsidR="003B2681" w:rsidRPr="00EF3D11" w14:paraId="3262C460" w14:textId="77777777" w:rsidTr="008608DC">
        <w:tc>
          <w:tcPr>
            <w:tcW w:w="0" w:type="auto"/>
            <w:hideMark/>
          </w:tcPr>
          <w:p w14:paraId="311A8224"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2023</w:t>
            </w:r>
          </w:p>
        </w:tc>
        <w:tc>
          <w:tcPr>
            <w:tcW w:w="0" w:type="auto"/>
            <w:hideMark/>
          </w:tcPr>
          <w:p w14:paraId="60FF62D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0.99</w:t>
            </w:r>
          </w:p>
        </w:tc>
        <w:tc>
          <w:tcPr>
            <w:tcW w:w="0" w:type="auto"/>
            <w:hideMark/>
          </w:tcPr>
          <w:p w14:paraId="407EA73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0.50</w:t>
            </w:r>
          </w:p>
        </w:tc>
        <w:tc>
          <w:tcPr>
            <w:tcW w:w="0" w:type="auto"/>
            <w:hideMark/>
          </w:tcPr>
          <w:p w14:paraId="55E0F6A4"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–0.16</w:t>
            </w:r>
          </w:p>
        </w:tc>
      </w:tr>
      <w:tr w:rsidR="003B2681" w:rsidRPr="00EF3D11" w14:paraId="686249EE" w14:textId="77777777" w:rsidTr="008608DC">
        <w:tc>
          <w:tcPr>
            <w:tcW w:w="0" w:type="auto"/>
            <w:hideMark/>
          </w:tcPr>
          <w:p w14:paraId="121465B4"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2024</w:t>
            </w:r>
          </w:p>
        </w:tc>
        <w:tc>
          <w:tcPr>
            <w:tcW w:w="0" w:type="auto"/>
            <w:hideMark/>
          </w:tcPr>
          <w:p w14:paraId="338E612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1.11</w:t>
            </w:r>
          </w:p>
        </w:tc>
        <w:tc>
          <w:tcPr>
            <w:tcW w:w="0" w:type="auto"/>
            <w:hideMark/>
          </w:tcPr>
          <w:p w14:paraId="783259A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0.53</w:t>
            </w:r>
          </w:p>
        </w:tc>
        <w:tc>
          <w:tcPr>
            <w:tcW w:w="0" w:type="auto"/>
            <w:hideMark/>
          </w:tcPr>
          <w:p w14:paraId="3EA5595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–4.6</w:t>
            </w:r>
          </w:p>
        </w:tc>
      </w:tr>
    </w:tbl>
    <w:p w14:paraId="1DBB270D" w14:textId="77777777" w:rsidR="003B2681" w:rsidRPr="00EF3D11" w:rsidRDefault="003B2681" w:rsidP="003B2681">
      <w:pPr>
        <w:spacing w:line="360" w:lineRule="auto"/>
        <w:rPr>
          <w:rFonts w:ascii="Arial" w:hAnsi="Arial" w:cs="Arial"/>
          <w:sz w:val="24"/>
          <w:szCs w:val="24"/>
        </w:rPr>
      </w:pPr>
    </w:p>
    <w:p w14:paraId="2FD5CD4E"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The debt-to-equity ratio rose to 1.11, as indicated by the rise in the dependence on debts (EY, 2024). The negative interest coverage in the year 2023 and 2024 was caused by negative operating losses meaning that they could not meet the interest payments using the earnings. This subjects GE to the risk of breach of covenants, increased risk of bankruptcy, as well as limited borrowing.</w:t>
      </w:r>
    </w:p>
    <w:p w14:paraId="3831E9ED"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2.5 Investment and Cash-Flow Performance</w:t>
      </w:r>
    </w:p>
    <w:p w14:paraId="6DE7F29A" w14:textId="2BD48CC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Even though GE suffers losses in profitability, the company has had a positive operating cash flow, </w:t>
      </w:r>
      <w:r w:rsidR="00222693">
        <w:rPr>
          <w:rFonts w:ascii="Arial" w:hAnsi="Arial" w:cs="Arial"/>
          <w:sz w:val="24"/>
          <w:szCs w:val="24"/>
        </w:rPr>
        <w:t>£</w:t>
      </w:r>
      <w:r w:rsidRPr="00EF3D11">
        <w:rPr>
          <w:rFonts w:ascii="Arial" w:hAnsi="Arial" w:cs="Arial"/>
          <w:sz w:val="24"/>
          <w:szCs w:val="24"/>
        </w:rPr>
        <w:t xml:space="preserve">14.8 billion in 2024, indicating that the company has the capability of generating internal cash. Nevertheless, the amount of net cash has gone down </w:t>
      </w:r>
      <w:proofErr w:type="gramStart"/>
      <w:r w:rsidRPr="00EF3D11">
        <w:rPr>
          <w:rFonts w:ascii="Arial" w:hAnsi="Arial" w:cs="Arial"/>
          <w:sz w:val="24"/>
          <w:szCs w:val="24"/>
        </w:rPr>
        <w:t>as a result of</w:t>
      </w:r>
      <w:proofErr w:type="gramEnd"/>
      <w:r w:rsidRPr="00EF3D11">
        <w:rPr>
          <w:rFonts w:ascii="Arial" w:hAnsi="Arial" w:cs="Arial"/>
          <w:sz w:val="24"/>
          <w:szCs w:val="24"/>
        </w:rPr>
        <w:t xml:space="preserve"> capital spending of </w:t>
      </w:r>
      <w:r w:rsidR="00222693">
        <w:rPr>
          <w:rFonts w:ascii="Arial" w:hAnsi="Arial" w:cs="Arial"/>
          <w:sz w:val="24"/>
          <w:szCs w:val="24"/>
        </w:rPr>
        <w:t>£</w:t>
      </w:r>
      <w:r w:rsidRPr="00EF3D11">
        <w:rPr>
          <w:rFonts w:ascii="Arial" w:hAnsi="Arial" w:cs="Arial"/>
          <w:sz w:val="24"/>
          <w:szCs w:val="24"/>
        </w:rPr>
        <w:t xml:space="preserve">4.6 billion and lower inflows of external financing (Bloomberg, 2024). To maintain liquidity to operate and possible turnaround investments, dividend payments were halted, which is in line with the principles of crisis management (Deloitte, 2023). Both the positive cash flow and the capital depletion are the reasons why the trade-off between the short-term liquidity management and the strategic investment </w:t>
      </w:r>
      <w:proofErr w:type="spellStart"/>
      <w:r w:rsidRPr="00EF3D11">
        <w:rPr>
          <w:rFonts w:ascii="Arial" w:hAnsi="Arial" w:cs="Arial"/>
          <w:sz w:val="24"/>
          <w:szCs w:val="24"/>
        </w:rPr>
        <w:t>prioritisation</w:t>
      </w:r>
      <w:proofErr w:type="spellEnd"/>
      <w:r w:rsidRPr="00EF3D11">
        <w:rPr>
          <w:rFonts w:ascii="Arial" w:hAnsi="Arial" w:cs="Arial"/>
          <w:sz w:val="24"/>
          <w:szCs w:val="24"/>
        </w:rPr>
        <w:t xml:space="preserve"> increases.</w:t>
      </w:r>
    </w:p>
    <w:p w14:paraId="7652DF0D"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2.6 Trends, Strengths, and Threats</w:t>
      </w:r>
    </w:p>
    <w:p w14:paraId="6443DF25"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Strengths:</w:t>
      </w:r>
    </w:p>
    <w:p w14:paraId="1AD47E29" w14:textId="77777777" w:rsidR="003B2681" w:rsidRPr="00EF3D11" w:rsidRDefault="003B2681" w:rsidP="003B2681">
      <w:pPr>
        <w:pStyle w:val="ListParagraph"/>
        <w:numPr>
          <w:ilvl w:val="0"/>
          <w:numId w:val="4"/>
        </w:numPr>
        <w:spacing w:line="360" w:lineRule="auto"/>
        <w:rPr>
          <w:rFonts w:ascii="Arial" w:hAnsi="Arial" w:cs="Arial"/>
          <w:sz w:val="24"/>
          <w:szCs w:val="24"/>
        </w:rPr>
      </w:pPr>
      <w:r w:rsidRPr="00EF3D11">
        <w:rPr>
          <w:rFonts w:ascii="Arial" w:hAnsi="Arial" w:cs="Arial"/>
          <w:sz w:val="24"/>
          <w:szCs w:val="24"/>
        </w:rPr>
        <w:t xml:space="preserve">The presence of stable gross margins (~28-29) is the sign of </w:t>
      </w:r>
      <w:proofErr w:type="gramStart"/>
      <w:r w:rsidRPr="00EF3D11">
        <w:rPr>
          <w:rFonts w:ascii="Arial" w:hAnsi="Arial" w:cs="Arial"/>
          <w:sz w:val="24"/>
          <w:szCs w:val="24"/>
        </w:rPr>
        <w:t>the effective</w:t>
      </w:r>
      <w:proofErr w:type="gramEnd"/>
      <w:r w:rsidRPr="00EF3D11">
        <w:rPr>
          <w:rFonts w:ascii="Arial" w:hAnsi="Arial" w:cs="Arial"/>
          <w:sz w:val="24"/>
          <w:szCs w:val="24"/>
        </w:rPr>
        <w:t xml:space="preserve"> cost control. </w:t>
      </w:r>
    </w:p>
    <w:p w14:paraId="64F8BE10" w14:textId="77777777" w:rsidR="003B2681" w:rsidRPr="00EF3D11" w:rsidRDefault="003B2681" w:rsidP="003B2681">
      <w:pPr>
        <w:pStyle w:val="ListParagraph"/>
        <w:numPr>
          <w:ilvl w:val="0"/>
          <w:numId w:val="4"/>
        </w:numPr>
        <w:spacing w:line="360" w:lineRule="auto"/>
        <w:rPr>
          <w:rFonts w:ascii="Arial" w:hAnsi="Arial" w:cs="Arial"/>
          <w:sz w:val="24"/>
          <w:szCs w:val="24"/>
        </w:rPr>
      </w:pPr>
      <w:r w:rsidRPr="00EF3D11">
        <w:rPr>
          <w:rFonts w:ascii="Arial" w:hAnsi="Arial" w:cs="Arial"/>
          <w:sz w:val="24"/>
          <w:szCs w:val="24"/>
        </w:rPr>
        <w:t xml:space="preserve">Regular cash-in operations indicate the ability of the company to generate cash. </w:t>
      </w:r>
    </w:p>
    <w:p w14:paraId="35A05D7B" w14:textId="77777777" w:rsidR="003B2681" w:rsidRPr="00EF3D11" w:rsidRDefault="003B2681" w:rsidP="003B2681">
      <w:pPr>
        <w:pStyle w:val="ListParagraph"/>
        <w:numPr>
          <w:ilvl w:val="0"/>
          <w:numId w:val="4"/>
        </w:numPr>
        <w:spacing w:line="360" w:lineRule="auto"/>
        <w:rPr>
          <w:rFonts w:ascii="Arial" w:hAnsi="Arial" w:cs="Arial"/>
          <w:sz w:val="24"/>
          <w:szCs w:val="24"/>
        </w:rPr>
      </w:pPr>
      <w:r w:rsidRPr="00EF3D11">
        <w:rPr>
          <w:rFonts w:ascii="Arial" w:hAnsi="Arial" w:cs="Arial"/>
          <w:sz w:val="24"/>
          <w:szCs w:val="24"/>
        </w:rPr>
        <w:t>Assets are large and can be used as a collateral to fund and restructure.</w:t>
      </w:r>
    </w:p>
    <w:p w14:paraId="642F0036"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Threats:</w:t>
      </w:r>
    </w:p>
    <w:p w14:paraId="7A281139" w14:textId="77777777" w:rsidR="003B2681" w:rsidRPr="00EF3D11" w:rsidRDefault="003B2681" w:rsidP="003B2681">
      <w:pPr>
        <w:pStyle w:val="ListParagraph"/>
        <w:numPr>
          <w:ilvl w:val="0"/>
          <w:numId w:val="5"/>
        </w:numPr>
        <w:spacing w:line="360" w:lineRule="auto"/>
        <w:rPr>
          <w:rFonts w:ascii="Arial" w:hAnsi="Arial" w:cs="Arial"/>
          <w:sz w:val="24"/>
          <w:szCs w:val="24"/>
        </w:rPr>
      </w:pPr>
      <w:r w:rsidRPr="00EF3D11">
        <w:rPr>
          <w:rFonts w:ascii="Arial" w:hAnsi="Arial" w:cs="Arial"/>
          <w:sz w:val="24"/>
          <w:szCs w:val="24"/>
        </w:rPr>
        <w:t xml:space="preserve">Profitability is compromised by the rapid shrinkage of revenues (-36% since 2020). </w:t>
      </w:r>
    </w:p>
    <w:p w14:paraId="6E29B057" w14:textId="77777777" w:rsidR="003B2681" w:rsidRPr="00EF3D11" w:rsidRDefault="003B2681" w:rsidP="003B2681">
      <w:pPr>
        <w:pStyle w:val="ListParagraph"/>
        <w:numPr>
          <w:ilvl w:val="0"/>
          <w:numId w:val="5"/>
        </w:numPr>
        <w:spacing w:line="360" w:lineRule="auto"/>
        <w:rPr>
          <w:rFonts w:ascii="Arial" w:hAnsi="Arial" w:cs="Arial"/>
          <w:sz w:val="24"/>
          <w:szCs w:val="24"/>
        </w:rPr>
      </w:pPr>
      <w:r w:rsidRPr="00EF3D11">
        <w:rPr>
          <w:rFonts w:ascii="Arial" w:hAnsi="Arial" w:cs="Arial"/>
          <w:sz w:val="24"/>
          <w:szCs w:val="24"/>
        </w:rPr>
        <w:lastRenderedPageBreak/>
        <w:t xml:space="preserve">Retained earnings and shareholder equity are by erosion through accumulated net losses. </w:t>
      </w:r>
    </w:p>
    <w:p w14:paraId="505EE487" w14:textId="77777777" w:rsidR="003B2681" w:rsidRPr="00EF3D11" w:rsidRDefault="003B2681" w:rsidP="003B2681">
      <w:pPr>
        <w:pStyle w:val="ListParagraph"/>
        <w:numPr>
          <w:ilvl w:val="0"/>
          <w:numId w:val="5"/>
        </w:numPr>
        <w:spacing w:line="360" w:lineRule="auto"/>
        <w:rPr>
          <w:rFonts w:ascii="Arial" w:hAnsi="Arial" w:cs="Arial"/>
          <w:sz w:val="24"/>
          <w:szCs w:val="24"/>
        </w:rPr>
      </w:pPr>
      <w:r w:rsidRPr="00EF3D11">
        <w:rPr>
          <w:rFonts w:ascii="Arial" w:hAnsi="Arial" w:cs="Arial"/>
          <w:sz w:val="24"/>
          <w:szCs w:val="24"/>
        </w:rPr>
        <w:t xml:space="preserve">Hike in leverage and a decrease in interest coverage is an indication of financial disturbance. </w:t>
      </w:r>
    </w:p>
    <w:p w14:paraId="6371F0AC" w14:textId="77777777" w:rsidR="003B2681" w:rsidRPr="00EF3D11" w:rsidRDefault="003B2681" w:rsidP="003B2681">
      <w:pPr>
        <w:pStyle w:val="ListParagraph"/>
        <w:numPr>
          <w:ilvl w:val="0"/>
          <w:numId w:val="5"/>
        </w:numPr>
        <w:spacing w:line="360" w:lineRule="auto"/>
        <w:rPr>
          <w:rFonts w:ascii="Arial" w:hAnsi="Arial" w:cs="Arial"/>
          <w:sz w:val="24"/>
          <w:szCs w:val="24"/>
        </w:rPr>
      </w:pPr>
      <w:r w:rsidRPr="00EF3D11">
        <w:rPr>
          <w:rFonts w:ascii="Arial" w:hAnsi="Arial" w:cs="Arial"/>
          <w:sz w:val="24"/>
          <w:szCs w:val="24"/>
        </w:rPr>
        <w:t>Deteriorating liquidity and increasing turnover of receivables increase operational risk.</w:t>
      </w:r>
    </w:p>
    <w:p w14:paraId="252AEA53"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2.7 Corporate Failure Prediction: Altman Z-Score</w:t>
      </w:r>
    </w:p>
    <w:p w14:paraId="7A6C44F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The Altman Z-Score provides an empirical framework for assessing bankruptcy risk in manufacturing firms (Altman, 1968; Altman &amp; Hotchkiss, 2020). It is calculated as:</w:t>
      </w:r>
    </w:p>
    <w:p w14:paraId="269DED1B" w14:textId="77777777" w:rsidR="003B2681" w:rsidRPr="00EF3D1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Z=1.2</m:t>
          </m:r>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1</m:t>
              </m:r>
            </m:sub>
          </m:sSub>
          <m:r>
            <m:rPr>
              <m:sty m:val="bi"/>
            </m:rPr>
            <w:rPr>
              <w:rFonts w:ascii="Cambria Math" w:hAnsi="Cambria Math" w:cs="Arial"/>
              <w:sz w:val="24"/>
              <w:szCs w:val="24"/>
            </w:rPr>
            <m:t>+1.4</m:t>
          </m:r>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2</m:t>
              </m:r>
            </m:sub>
          </m:sSub>
          <m:r>
            <m:rPr>
              <m:sty m:val="bi"/>
            </m:rPr>
            <w:rPr>
              <w:rFonts w:ascii="Cambria Math" w:hAnsi="Cambria Math" w:cs="Arial"/>
              <w:sz w:val="24"/>
              <w:szCs w:val="24"/>
            </w:rPr>
            <m:t>+3.3</m:t>
          </m:r>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3</m:t>
              </m:r>
            </m:sub>
          </m:sSub>
          <m:r>
            <m:rPr>
              <m:sty m:val="bi"/>
            </m:rPr>
            <w:rPr>
              <w:rFonts w:ascii="Cambria Math" w:hAnsi="Cambria Math" w:cs="Arial"/>
              <w:sz w:val="24"/>
              <w:szCs w:val="24"/>
            </w:rPr>
            <m:t>+0.6</m:t>
          </m:r>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4</m:t>
              </m:r>
            </m:sub>
          </m:sSub>
          <m:r>
            <m:rPr>
              <m:sty m:val="bi"/>
            </m:rPr>
            <w:rPr>
              <w:rFonts w:ascii="Cambria Math" w:hAnsi="Cambria Math" w:cs="Arial"/>
              <w:sz w:val="24"/>
              <w:szCs w:val="24"/>
            </w:rPr>
            <m:t>+1.0</m:t>
          </m:r>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5</m:t>
              </m:r>
            </m:sub>
          </m:sSub>
          <m:r>
            <m:rPr>
              <m:sty m:val="p"/>
            </m:rPr>
            <w:rPr>
              <w:rFonts w:ascii="Cambria Math" w:hAnsi="Cambria Math" w:cs="Arial"/>
              <w:sz w:val="24"/>
              <w:szCs w:val="24"/>
            </w:rPr>
            <w:br/>
          </m:r>
        </m:oMath>
      </m:oMathPara>
    </w:p>
    <w:p w14:paraId="139DDB96"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Where:</w:t>
      </w:r>
    </w:p>
    <w:p w14:paraId="29FDB481" w14:textId="77777777" w:rsidR="003B2681" w:rsidRPr="00EF3D11" w:rsidRDefault="003B2681" w:rsidP="003B2681">
      <w:pPr>
        <w:numPr>
          <w:ilvl w:val="0"/>
          <w:numId w:val="2"/>
        </w:numPr>
        <w:spacing w:line="360" w:lineRule="auto"/>
        <w:rPr>
          <w:rFonts w:ascii="Arial" w:hAnsi="Arial" w:cs="Arial"/>
          <w:b/>
          <w:bCs/>
          <w:sz w:val="24"/>
          <w:szCs w:val="24"/>
        </w:rPr>
      </w:pPr>
      <m:oMath>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1</m:t>
            </m:r>
          </m:sub>
        </m:sSub>
        <m:r>
          <m:rPr>
            <m:sty m:val="bi"/>
          </m:rPr>
          <w:rPr>
            <w:rFonts w:ascii="Cambria Math" w:hAnsi="Cambria Math" w:cs="Arial"/>
            <w:sz w:val="24"/>
            <w:szCs w:val="24"/>
          </w:rPr>
          <m:t>=</m:t>
        </m:r>
        <m:r>
          <m:rPr>
            <m:nor/>
          </m:rPr>
          <w:rPr>
            <w:rFonts w:ascii="Arial" w:hAnsi="Arial" w:cs="Arial"/>
            <w:b/>
            <w:bCs/>
            <w:sz w:val="24"/>
            <w:szCs w:val="24"/>
          </w:rPr>
          <m:t>Working Capital / Total Assets</m:t>
        </m:r>
      </m:oMath>
    </w:p>
    <w:p w14:paraId="05027662" w14:textId="77777777" w:rsidR="003B2681" w:rsidRPr="00EF3D11" w:rsidRDefault="003B2681" w:rsidP="003B2681">
      <w:pPr>
        <w:numPr>
          <w:ilvl w:val="0"/>
          <w:numId w:val="2"/>
        </w:numPr>
        <w:spacing w:line="360" w:lineRule="auto"/>
        <w:rPr>
          <w:rFonts w:ascii="Arial" w:hAnsi="Arial" w:cs="Arial"/>
          <w:b/>
          <w:bCs/>
          <w:sz w:val="24"/>
          <w:szCs w:val="24"/>
        </w:rPr>
      </w:pPr>
      <m:oMath>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2</m:t>
            </m:r>
          </m:sub>
        </m:sSub>
        <m:r>
          <m:rPr>
            <m:sty m:val="bi"/>
          </m:rPr>
          <w:rPr>
            <w:rFonts w:ascii="Cambria Math" w:hAnsi="Cambria Math" w:cs="Arial"/>
            <w:sz w:val="24"/>
            <w:szCs w:val="24"/>
          </w:rPr>
          <m:t>=</m:t>
        </m:r>
        <m:r>
          <m:rPr>
            <m:nor/>
          </m:rPr>
          <w:rPr>
            <w:rFonts w:ascii="Arial" w:hAnsi="Arial" w:cs="Arial"/>
            <w:b/>
            <w:bCs/>
            <w:sz w:val="24"/>
            <w:szCs w:val="24"/>
          </w:rPr>
          <m:t>Retained Earnings / Total Assets</m:t>
        </m:r>
      </m:oMath>
    </w:p>
    <w:p w14:paraId="4A8445F3" w14:textId="77777777" w:rsidR="003B2681" w:rsidRPr="00EF3D11" w:rsidRDefault="003B2681" w:rsidP="003B2681">
      <w:pPr>
        <w:numPr>
          <w:ilvl w:val="0"/>
          <w:numId w:val="2"/>
        </w:numPr>
        <w:spacing w:line="360" w:lineRule="auto"/>
        <w:rPr>
          <w:rFonts w:ascii="Arial" w:hAnsi="Arial" w:cs="Arial"/>
          <w:b/>
          <w:bCs/>
          <w:sz w:val="24"/>
          <w:szCs w:val="24"/>
        </w:rPr>
      </w:pPr>
      <m:oMath>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3</m:t>
            </m:r>
          </m:sub>
        </m:sSub>
        <m:r>
          <m:rPr>
            <m:sty m:val="bi"/>
          </m:rPr>
          <w:rPr>
            <w:rFonts w:ascii="Cambria Math" w:hAnsi="Cambria Math" w:cs="Arial"/>
            <w:sz w:val="24"/>
            <w:szCs w:val="24"/>
          </w:rPr>
          <m:t>=</m:t>
        </m:r>
        <m:r>
          <m:rPr>
            <m:nor/>
          </m:rPr>
          <w:rPr>
            <w:rFonts w:ascii="Arial" w:hAnsi="Arial" w:cs="Arial"/>
            <w:b/>
            <w:bCs/>
            <w:sz w:val="24"/>
            <w:szCs w:val="24"/>
          </w:rPr>
          <m:t>EBIT / Total Assets</m:t>
        </m:r>
      </m:oMath>
    </w:p>
    <w:p w14:paraId="4F7C4588" w14:textId="77777777" w:rsidR="003B2681" w:rsidRPr="00EF3D11" w:rsidRDefault="003B2681" w:rsidP="003B2681">
      <w:pPr>
        <w:numPr>
          <w:ilvl w:val="0"/>
          <w:numId w:val="2"/>
        </w:numPr>
        <w:spacing w:line="360" w:lineRule="auto"/>
        <w:rPr>
          <w:rFonts w:ascii="Arial" w:hAnsi="Arial" w:cs="Arial"/>
          <w:b/>
          <w:bCs/>
          <w:sz w:val="24"/>
          <w:szCs w:val="24"/>
        </w:rPr>
      </w:pPr>
      <m:oMath>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4</m:t>
            </m:r>
          </m:sub>
        </m:sSub>
        <m:r>
          <m:rPr>
            <m:sty m:val="bi"/>
          </m:rPr>
          <w:rPr>
            <w:rFonts w:ascii="Cambria Math" w:hAnsi="Cambria Math" w:cs="Arial"/>
            <w:sz w:val="24"/>
            <w:szCs w:val="24"/>
          </w:rPr>
          <m:t>=</m:t>
        </m:r>
        <m:r>
          <m:rPr>
            <m:nor/>
          </m:rPr>
          <w:rPr>
            <w:rFonts w:ascii="Arial" w:hAnsi="Arial" w:cs="Arial"/>
            <w:b/>
            <w:bCs/>
            <w:sz w:val="24"/>
            <w:szCs w:val="24"/>
          </w:rPr>
          <m:t>Market Value of Equity / Total Liabilities</m:t>
        </m:r>
      </m:oMath>
    </w:p>
    <w:p w14:paraId="6D844C78" w14:textId="77777777" w:rsidR="003B2681" w:rsidRPr="00EF3D11" w:rsidRDefault="003B2681" w:rsidP="003B2681">
      <w:pPr>
        <w:numPr>
          <w:ilvl w:val="0"/>
          <w:numId w:val="2"/>
        </w:numPr>
        <w:spacing w:line="360" w:lineRule="auto"/>
        <w:rPr>
          <w:rFonts w:ascii="Arial" w:hAnsi="Arial" w:cs="Arial"/>
          <w:b/>
          <w:bCs/>
          <w:sz w:val="24"/>
          <w:szCs w:val="24"/>
        </w:rPr>
      </w:pPr>
      <m:oMath>
        <m:sSub>
          <m:sSubPr>
            <m:ctrlPr>
              <w:rPr>
                <w:rFonts w:ascii="Cambria Math" w:hAnsi="Cambria Math" w:cs="Arial"/>
                <w:b/>
                <w:bCs/>
                <w:sz w:val="24"/>
                <w:szCs w:val="24"/>
              </w:rPr>
            </m:ctrlPr>
          </m:sSubPr>
          <m:e>
            <m:r>
              <m:rPr>
                <m:sty m:val="bi"/>
              </m:rPr>
              <w:rPr>
                <w:rFonts w:ascii="Cambria Math" w:hAnsi="Cambria Math" w:cs="Arial"/>
                <w:sz w:val="24"/>
                <w:szCs w:val="24"/>
              </w:rPr>
              <m:t>X</m:t>
            </m:r>
          </m:e>
          <m:sub>
            <m:r>
              <m:rPr>
                <m:sty m:val="bi"/>
              </m:rPr>
              <w:rPr>
                <w:rFonts w:ascii="Cambria Math" w:hAnsi="Cambria Math" w:cs="Arial"/>
                <w:sz w:val="24"/>
                <w:szCs w:val="24"/>
              </w:rPr>
              <m:t>5</m:t>
            </m:r>
          </m:sub>
        </m:sSub>
        <m:r>
          <m:rPr>
            <m:sty m:val="bi"/>
          </m:rPr>
          <w:rPr>
            <w:rFonts w:ascii="Cambria Math" w:hAnsi="Cambria Math" w:cs="Arial"/>
            <w:sz w:val="24"/>
            <w:szCs w:val="24"/>
          </w:rPr>
          <m:t>=</m:t>
        </m:r>
        <m:r>
          <m:rPr>
            <m:nor/>
          </m:rPr>
          <w:rPr>
            <w:rFonts w:ascii="Arial" w:hAnsi="Arial" w:cs="Arial"/>
            <w:b/>
            <w:bCs/>
            <w:sz w:val="24"/>
            <w:szCs w:val="24"/>
          </w:rPr>
          <m:t>Sales / Total Assets</m:t>
        </m:r>
      </m:oMath>
    </w:p>
    <w:p w14:paraId="07767E2D"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2024 Calculation:</w:t>
      </w:r>
    </w:p>
    <w:p w14:paraId="67D32B15"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Working capital = £242,494 – £158,291 = £84,203</w:t>
      </w:r>
    </w:p>
    <w:p w14:paraId="2B28C150"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Total assets = £323,354</w:t>
      </w:r>
    </w:p>
    <w:p w14:paraId="558CD721"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Retained earnings = £208,431</w:t>
      </w:r>
    </w:p>
    <w:p w14:paraId="1725E841"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EBIT ≈ –15,297</w:t>
      </w:r>
    </w:p>
    <w:p w14:paraId="244BC23B"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Market value of equity ≈ £153,105</w:t>
      </w:r>
    </w:p>
    <w:p w14:paraId="09672941"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Total liabilities = £170,249</w:t>
      </w:r>
    </w:p>
    <w:p w14:paraId="55A65198" w14:textId="77777777" w:rsidR="003B2681" w:rsidRPr="00EF3D11" w:rsidRDefault="003B2681" w:rsidP="003B2681">
      <w:pPr>
        <w:numPr>
          <w:ilvl w:val="0"/>
          <w:numId w:val="3"/>
        </w:numPr>
        <w:spacing w:line="360" w:lineRule="auto"/>
        <w:rPr>
          <w:rFonts w:ascii="Arial" w:hAnsi="Arial" w:cs="Arial"/>
          <w:sz w:val="24"/>
          <w:szCs w:val="24"/>
        </w:rPr>
      </w:pPr>
      <w:r w:rsidRPr="00EF3D11">
        <w:rPr>
          <w:rFonts w:ascii="Arial" w:hAnsi="Arial" w:cs="Arial"/>
          <w:sz w:val="24"/>
          <w:szCs w:val="24"/>
        </w:rPr>
        <w:t>Sales = £394,879</w:t>
      </w:r>
    </w:p>
    <w:p w14:paraId="689509C9" w14:textId="77777777" w:rsidR="003B2681" w:rsidRPr="00EF3D1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w:lastRenderedPageBreak/>
            <m:t>Z=1.2(0.26)+1.4(0.64)+3.3(-0.047)+0.6(0.9)+1(1.22)≈2.19</m:t>
          </m:r>
          <m:r>
            <m:rPr>
              <m:sty m:val="p"/>
            </m:rPr>
            <w:rPr>
              <w:rFonts w:ascii="Cambria Math" w:hAnsi="Cambria Math" w:cs="Arial"/>
              <w:sz w:val="24"/>
              <w:szCs w:val="24"/>
            </w:rPr>
            <w:br/>
          </m:r>
        </m:oMath>
      </m:oMathPara>
    </w:p>
    <w:p w14:paraId="38A54E7E" w14:textId="77777777" w:rsidR="003B2681" w:rsidRDefault="003B2681" w:rsidP="003B2681">
      <w:pPr>
        <w:spacing w:line="360" w:lineRule="auto"/>
        <w:rPr>
          <w:rFonts w:ascii="Arial" w:hAnsi="Arial" w:cs="Arial"/>
          <w:sz w:val="24"/>
          <w:szCs w:val="24"/>
        </w:rPr>
      </w:pPr>
      <w:r w:rsidRPr="00934F9E">
        <w:rPr>
          <w:rFonts w:ascii="Arial" w:hAnsi="Arial" w:cs="Arial"/>
          <w:sz w:val="24"/>
          <w:szCs w:val="24"/>
        </w:rPr>
        <w:t>The Z-score of 2.19 is in the grey area, which means that there could be but not necessarily imminent bankruptcy. Nevertheless, the fact that the number had deteriorated to more than 3 in 2020 and then it dropped to 2.2 in 2024 indicates growing financial risk and the extreme necessity of strategic intervention.</w:t>
      </w:r>
    </w:p>
    <w:p w14:paraId="38C115E2" w14:textId="77777777" w:rsidR="003B2681" w:rsidRPr="00EF3D11" w:rsidRDefault="003B2681" w:rsidP="003B2681">
      <w:pPr>
        <w:spacing w:line="360" w:lineRule="auto"/>
        <w:rPr>
          <w:rFonts w:ascii="Arial" w:hAnsi="Arial" w:cs="Arial"/>
          <w:b/>
          <w:bCs/>
          <w:sz w:val="24"/>
          <w:szCs w:val="24"/>
        </w:rPr>
      </w:pPr>
    </w:p>
    <w:p w14:paraId="62715E55"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2.8 Summary of Financial Health</w:t>
      </w:r>
    </w:p>
    <w:p w14:paraId="323CDDEA" w14:textId="77777777" w:rsidR="003B2681" w:rsidRPr="00EF3D11" w:rsidRDefault="003B2681" w:rsidP="003B2681">
      <w:pPr>
        <w:spacing w:line="360" w:lineRule="auto"/>
        <w:rPr>
          <w:rFonts w:ascii="Arial" w:hAnsi="Arial" w:cs="Arial"/>
          <w:sz w:val="24"/>
          <w:szCs w:val="24"/>
        </w:rPr>
      </w:pPr>
      <w:r w:rsidRPr="00115D9B">
        <w:rPr>
          <w:rFonts w:ascii="Arial" w:hAnsi="Arial" w:cs="Arial"/>
          <w:sz w:val="24"/>
          <w:szCs w:val="24"/>
        </w:rPr>
        <w:t xml:space="preserve">General Electronics is not in </w:t>
      </w:r>
      <w:proofErr w:type="gramStart"/>
      <w:r w:rsidRPr="00115D9B">
        <w:rPr>
          <w:rFonts w:ascii="Arial" w:hAnsi="Arial" w:cs="Arial"/>
          <w:sz w:val="24"/>
          <w:szCs w:val="24"/>
        </w:rPr>
        <w:t>the</w:t>
      </w:r>
      <w:proofErr w:type="gramEnd"/>
      <w:r w:rsidRPr="00115D9B">
        <w:rPr>
          <w:rFonts w:ascii="Arial" w:hAnsi="Arial" w:cs="Arial"/>
          <w:sz w:val="24"/>
          <w:szCs w:val="24"/>
        </w:rPr>
        <w:t xml:space="preserve"> state of insolvency, but it is experiencing financial distress organizationally</w:t>
      </w:r>
      <w:r w:rsidRPr="00EF3D11">
        <w:rPr>
          <w:rFonts w:ascii="Arial" w:hAnsi="Arial" w:cs="Arial"/>
          <w:sz w:val="24"/>
          <w:szCs w:val="24"/>
        </w:rPr>
        <w:t xml:space="preserve">. The falling shareholder returns, profitability decline, liquidity constraint, and increased leverage are indicators of a critical urgency to restructure the strategy and </w:t>
      </w:r>
      <w:proofErr w:type="spellStart"/>
      <w:r w:rsidRPr="00EF3D11">
        <w:rPr>
          <w:rFonts w:ascii="Arial" w:hAnsi="Arial" w:cs="Arial"/>
          <w:sz w:val="24"/>
          <w:szCs w:val="24"/>
        </w:rPr>
        <w:t>optimise</w:t>
      </w:r>
      <w:proofErr w:type="spellEnd"/>
      <w:r w:rsidRPr="00EF3D11">
        <w:rPr>
          <w:rFonts w:ascii="Arial" w:hAnsi="Arial" w:cs="Arial"/>
          <w:sz w:val="24"/>
          <w:szCs w:val="24"/>
        </w:rPr>
        <w:t xml:space="preserve"> the working capital. Turnaround will be based on positive operating cash flows, but risks are still high because of operational inefficiencies and difficulties in services of debts. The short-term solutions to focus on should be: </w:t>
      </w:r>
    </w:p>
    <w:p w14:paraId="641A1739"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1. Improvement of cost </w:t>
      </w:r>
      <w:proofErr w:type="spellStart"/>
      <w:r w:rsidRPr="00EF3D11">
        <w:rPr>
          <w:rFonts w:ascii="Arial" w:hAnsi="Arial" w:cs="Arial"/>
          <w:sz w:val="24"/>
          <w:szCs w:val="24"/>
        </w:rPr>
        <w:t>rationalisation</w:t>
      </w:r>
      <w:proofErr w:type="spellEnd"/>
      <w:r w:rsidRPr="00EF3D11">
        <w:rPr>
          <w:rFonts w:ascii="Arial" w:hAnsi="Arial" w:cs="Arial"/>
          <w:sz w:val="24"/>
          <w:szCs w:val="24"/>
        </w:rPr>
        <w:t xml:space="preserve"> and operational efficiency. </w:t>
      </w:r>
    </w:p>
    <w:p w14:paraId="57F9CEE8"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2. Debt restructuring to lessen the financial risk. </w:t>
      </w:r>
    </w:p>
    <w:p w14:paraId="25837505"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3. Receivables and inventory management </w:t>
      </w:r>
      <w:proofErr w:type="spellStart"/>
      <w:r w:rsidRPr="00EF3D11">
        <w:rPr>
          <w:rFonts w:ascii="Arial" w:hAnsi="Arial" w:cs="Arial"/>
          <w:sz w:val="24"/>
          <w:szCs w:val="24"/>
        </w:rPr>
        <w:t>optimisation</w:t>
      </w:r>
      <w:proofErr w:type="spellEnd"/>
      <w:r w:rsidRPr="00EF3D11">
        <w:rPr>
          <w:rFonts w:ascii="Arial" w:hAnsi="Arial" w:cs="Arial"/>
          <w:sz w:val="24"/>
          <w:szCs w:val="24"/>
        </w:rPr>
        <w:t xml:space="preserve"> and liquidity. </w:t>
      </w:r>
    </w:p>
    <w:p w14:paraId="3F2D196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4. Strategic investment in high pay off low-risk projects to stabilize revenues. </w:t>
      </w:r>
    </w:p>
    <w:p w14:paraId="403392E7"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These domains should be tackled by GE to recover its solvency, increase investor trust, and build a base to be able to recover sustainably.</w:t>
      </w:r>
    </w:p>
    <w:p w14:paraId="15977AA4"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 xml:space="preserve">3. Working Capital Management Analysis </w:t>
      </w:r>
    </w:p>
    <w:p w14:paraId="6F48AD6F"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Strong working capital management is the key to corporate survival, especially among misfortunate companies like General Electronics (GE). The current </w:t>
      </w:r>
      <w:proofErr w:type="gramStart"/>
      <w:r w:rsidRPr="00EF3D11">
        <w:rPr>
          <w:rFonts w:ascii="Arial" w:hAnsi="Arial" w:cs="Arial"/>
          <w:sz w:val="24"/>
          <w:szCs w:val="24"/>
        </w:rPr>
        <w:t>assets</w:t>
      </w:r>
      <w:proofErr w:type="gramEnd"/>
      <w:r w:rsidRPr="00EF3D11">
        <w:rPr>
          <w:rFonts w:ascii="Arial" w:hAnsi="Arial" w:cs="Arial"/>
          <w:sz w:val="24"/>
          <w:szCs w:val="24"/>
        </w:rPr>
        <w:t xml:space="preserve"> minus the current </w:t>
      </w:r>
      <w:proofErr w:type="gramStart"/>
      <w:r w:rsidRPr="00EF3D11">
        <w:rPr>
          <w:rFonts w:ascii="Arial" w:hAnsi="Arial" w:cs="Arial"/>
          <w:sz w:val="24"/>
          <w:szCs w:val="24"/>
        </w:rPr>
        <w:t>liabilities</w:t>
      </w:r>
      <w:proofErr w:type="gramEnd"/>
      <w:r w:rsidRPr="00EF3D11">
        <w:rPr>
          <w:rFonts w:ascii="Arial" w:hAnsi="Arial" w:cs="Arial"/>
          <w:sz w:val="24"/>
          <w:szCs w:val="24"/>
        </w:rPr>
        <w:t xml:space="preserve"> is a working capital, which serves as a buffer of liquidity to cover the short-term obligations and maintain operations of the company (Brigham and Ehrhardt, 2022). The current ratio of 1.53 and quick ratio of 0.84 in 2024 used by the GE is an indication of limited liquidity and that there is a low capacity of GE to absorb sudden financial surprises. Although the operating cash flows are positive, the increase in the accounts receivable and the increase </w:t>
      </w:r>
      <w:proofErr w:type="gramStart"/>
      <w:r w:rsidRPr="00EF3D11">
        <w:rPr>
          <w:rFonts w:ascii="Arial" w:hAnsi="Arial" w:cs="Arial"/>
          <w:sz w:val="24"/>
          <w:szCs w:val="24"/>
        </w:rPr>
        <w:t>of</w:t>
      </w:r>
      <w:proofErr w:type="gramEnd"/>
      <w:r w:rsidRPr="00EF3D11">
        <w:rPr>
          <w:rFonts w:ascii="Arial" w:hAnsi="Arial" w:cs="Arial"/>
          <w:sz w:val="24"/>
          <w:szCs w:val="24"/>
        </w:rPr>
        <w:t xml:space="preserve"> the inventory holding </w:t>
      </w:r>
      <w:r w:rsidRPr="00EF3D11">
        <w:rPr>
          <w:rFonts w:ascii="Arial" w:hAnsi="Arial" w:cs="Arial"/>
          <w:sz w:val="24"/>
          <w:szCs w:val="24"/>
        </w:rPr>
        <w:lastRenderedPageBreak/>
        <w:t>period has put the firm in a liquidity trap that limits the option of flexing its operations and impairs its capacity to finance the short-term turnaround projects.</w:t>
      </w:r>
    </w:p>
    <w:p w14:paraId="52325C95"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3.1 Cash Operating Cycle</w:t>
      </w:r>
    </w:p>
    <w:p w14:paraId="71169146"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The cash operating cycle (COC), also referred to as the cash conversion cycle, measures the efficiency with which a firm transforms resource investments into cash inflows (Gitman &amp; Zutter, 2019). It is calculated as:</w:t>
      </w:r>
    </w:p>
    <w:p w14:paraId="09D01FC5" w14:textId="77777777" w:rsidR="003B2681" w:rsidRPr="00EF3D1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COC=DIO+DSO-DPO</m:t>
          </m:r>
        </m:oMath>
      </m:oMathPara>
    </w:p>
    <w:p w14:paraId="105F8D6E"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Where:</w:t>
      </w:r>
    </w:p>
    <w:p w14:paraId="3CC165AA" w14:textId="77777777" w:rsidR="003B2681" w:rsidRPr="00EF3D11" w:rsidRDefault="003B2681" w:rsidP="003B2681">
      <w:pPr>
        <w:numPr>
          <w:ilvl w:val="0"/>
          <w:numId w:val="1"/>
        </w:numPr>
        <w:spacing w:line="360" w:lineRule="auto"/>
        <w:rPr>
          <w:rFonts w:ascii="Arial" w:hAnsi="Arial" w:cs="Arial"/>
          <w:b/>
          <w:bCs/>
          <w:sz w:val="24"/>
          <w:szCs w:val="24"/>
        </w:rPr>
      </w:pPr>
      <w:r w:rsidRPr="00EF3D11">
        <w:rPr>
          <w:rFonts w:ascii="Arial" w:hAnsi="Arial" w:cs="Arial"/>
          <w:b/>
          <w:bCs/>
          <w:sz w:val="24"/>
          <w:szCs w:val="24"/>
        </w:rPr>
        <w:t>DIO = Days Inventory Outstanding</w:t>
      </w:r>
    </w:p>
    <w:p w14:paraId="62660725" w14:textId="77777777" w:rsidR="003B2681" w:rsidRPr="00EF3D11" w:rsidRDefault="003B2681" w:rsidP="003B2681">
      <w:pPr>
        <w:numPr>
          <w:ilvl w:val="0"/>
          <w:numId w:val="1"/>
        </w:numPr>
        <w:spacing w:line="360" w:lineRule="auto"/>
        <w:rPr>
          <w:rFonts w:ascii="Arial" w:hAnsi="Arial" w:cs="Arial"/>
          <w:b/>
          <w:bCs/>
          <w:sz w:val="24"/>
          <w:szCs w:val="24"/>
        </w:rPr>
      </w:pPr>
      <w:r w:rsidRPr="00EF3D11">
        <w:rPr>
          <w:rFonts w:ascii="Arial" w:hAnsi="Arial" w:cs="Arial"/>
          <w:b/>
          <w:bCs/>
          <w:sz w:val="24"/>
          <w:szCs w:val="24"/>
        </w:rPr>
        <w:t>DSO = Days Sales Outstanding</w:t>
      </w:r>
    </w:p>
    <w:p w14:paraId="7F2CEEDA" w14:textId="77777777" w:rsidR="003B2681" w:rsidRPr="00EF3D11" w:rsidRDefault="003B2681" w:rsidP="003B2681">
      <w:pPr>
        <w:numPr>
          <w:ilvl w:val="0"/>
          <w:numId w:val="1"/>
        </w:numPr>
        <w:spacing w:line="360" w:lineRule="auto"/>
        <w:rPr>
          <w:rFonts w:ascii="Arial" w:hAnsi="Arial" w:cs="Arial"/>
          <w:b/>
          <w:bCs/>
          <w:sz w:val="24"/>
          <w:szCs w:val="24"/>
        </w:rPr>
      </w:pPr>
      <w:r w:rsidRPr="00EF3D11">
        <w:rPr>
          <w:rFonts w:ascii="Arial" w:hAnsi="Arial" w:cs="Arial"/>
          <w:b/>
          <w:bCs/>
          <w:sz w:val="24"/>
          <w:szCs w:val="24"/>
        </w:rPr>
        <w:t>DPO = Days Payables Outstanding</w:t>
      </w:r>
    </w:p>
    <w:p w14:paraId="79D42E48"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historical COC data for GE are </w:t>
      </w:r>
      <w:proofErr w:type="spellStart"/>
      <w:r w:rsidRPr="00EF3D11">
        <w:rPr>
          <w:rFonts w:ascii="Arial" w:hAnsi="Arial" w:cs="Arial"/>
          <w:sz w:val="24"/>
          <w:szCs w:val="24"/>
        </w:rPr>
        <w:t>summarised</w:t>
      </w:r>
      <w:proofErr w:type="spellEnd"/>
      <w:r w:rsidRPr="00EF3D11">
        <w:rPr>
          <w:rFonts w:ascii="Arial" w:hAnsi="Arial" w:cs="Arial"/>
          <w:sz w:val="24"/>
          <w:szCs w:val="24"/>
        </w:rPr>
        <w:t xml:space="preserve"> below:</w:t>
      </w:r>
    </w:p>
    <w:tbl>
      <w:tblPr>
        <w:tblStyle w:val="TableGrid"/>
        <w:tblW w:w="0" w:type="auto"/>
        <w:tblLook w:val="04A0" w:firstRow="1" w:lastRow="0" w:firstColumn="1" w:lastColumn="0" w:noHBand="0" w:noVBand="1"/>
      </w:tblPr>
      <w:tblGrid>
        <w:gridCol w:w="750"/>
        <w:gridCol w:w="643"/>
        <w:gridCol w:w="737"/>
        <w:gridCol w:w="737"/>
        <w:gridCol w:w="3671"/>
      </w:tblGrid>
      <w:tr w:rsidR="003B2681" w:rsidRPr="00EF3D11" w14:paraId="0FA3600D" w14:textId="77777777" w:rsidTr="008608DC">
        <w:tc>
          <w:tcPr>
            <w:tcW w:w="0" w:type="auto"/>
            <w:hideMark/>
          </w:tcPr>
          <w:p w14:paraId="5C00818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Year</w:t>
            </w:r>
          </w:p>
        </w:tc>
        <w:tc>
          <w:tcPr>
            <w:tcW w:w="0" w:type="auto"/>
            <w:hideMark/>
          </w:tcPr>
          <w:p w14:paraId="1A77191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DIO</w:t>
            </w:r>
          </w:p>
        </w:tc>
        <w:tc>
          <w:tcPr>
            <w:tcW w:w="0" w:type="auto"/>
            <w:hideMark/>
          </w:tcPr>
          <w:p w14:paraId="660ABF3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DSO</w:t>
            </w:r>
          </w:p>
        </w:tc>
        <w:tc>
          <w:tcPr>
            <w:tcW w:w="0" w:type="auto"/>
            <w:hideMark/>
          </w:tcPr>
          <w:p w14:paraId="45570A8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DPO</w:t>
            </w:r>
          </w:p>
        </w:tc>
        <w:tc>
          <w:tcPr>
            <w:tcW w:w="0" w:type="auto"/>
            <w:hideMark/>
          </w:tcPr>
          <w:p w14:paraId="373BE3E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Cash Conversion Cycle (days)</w:t>
            </w:r>
          </w:p>
        </w:tc>
      </w:tr>
      <w:tr w:rsidR="003B2681" w:rsidRPr="00EF3D11" w14:paraId="2A12E2BC" w14:textId="77777777" w:rsidTr="008608DC">
        <w:tc>
          <w:tcPr>
            <w:tcW w:w="0" w:type="auto"/>
            <w:hideMark/>
          </w:tcPr>
          <w:p w14:paraId="09A8969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2020</w:t>
            </w:r>
          </w:p>
        </w:tc>
        <w:tc>
          <w:tcPr>
            <w:tcW w:w="0" w:type="auto"/>
            <w:hideMark/>
          </w:tcPr>
          <w:p w14:paraId="23A6A7E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100</w:t>
            </w:r>
          </w:p>
        </w:tc>
        <w:tc>
          <w:tcPr>
            <w:tcW w:w="0" w:type="auto"/>
            <w:hideMark/>
          </w:tcPr>
          <w:p w14:paraId="4B8327F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77</w:t>
            </w:r>
          </w:p>
        </w:tc>
        <w:tc>
          <w:tcPr>
            <w:tcW w:w="0" w:type="auto"/>
            <w:hideMark/>
          </w:tcPr>
          <w:p w14:paraId="01A14F0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48</w:t>
            </w:r>
          </w:p>
        </w:tc>
        <w:tc>
          <w:tcPr>
            <w:tcW w:w="0" w:type="auto"/>
            <w:hideMark/>
          </w:tcPr>
          <w:p w14:paraId="2460A12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129</w:t>
            </w:r>
          </w:p>
        </w:tc>
      </w:tr>
      <w:tr w:rsidR="003B2681" w:rsidRPr="00EF3D11" w14:paraId="5ABF9026" w14:textId="77777777" w:rsidTr="008608DC">
        <w:tc>
          <w:tcPr>
            <w:tcW w:w="0" w:type="auto"/>
            <w:hideMark/>
          </w:tcPr>
          <w:p w14:paraId="3191008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2021</w:t>
            </w:r>
          </w:p>
        </w:tc>
        <w:tc>
          <w:tcPr>
            <w:tcW w:w="0" w:type="auto"/>
            <w:hideMark/>
          </w:tcPr>
          <w:p w14:paraId="22CF16E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114</w:t>
            </w:r>
          </w:p>
        </w:tc>
        <w:tc>
          <w:tcPr>
            <w:tcW w:w="0" w:type="auto"/>
            <w:hideMark/>
          </w:tcPr>
          <w:p w14:paraId="7DAE4670"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78</w:t>
            </w:r>
          </w:p>
        </w:tc>
        <w:tc>
          <w:tcPr>
            <w:tcW w:w="0" w:type="auto"/>
            <w:hideMark/>
          </w:tcPr>
          <w:p w14:paraId="21D126D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56</w:t>
            </w:r>
          </w:p>
        </w:tc>
        <w:tc>
          <w:tcPr>
            <w:tcW w:w="0" w:type="auto"/>
            <w:hideMark/>
          </w:tcPr>
          <w:p w14:paraId="6FCB065A"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136</w:t>
            </w:r>
          </w:p>
        </w:tc>
      </w:tr>
      <w:tr w:rsidR="003B2681" w:rsidRPr="00EF3D11" w14:paraId="003123F7" w14:textId="77777777" w:rsidTr="008608DC">
        <w:tc>
          <w:tcPr>
            <w:tcW w:w="0" w:type="auto"/>
            <w:hideMark/>
          </w:tcPr>
          <w:p w14:paraId="0209D98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2022</w:t>
            </w:r>
          </w:p>
        </w:tc>
        <w:tc>
          <w:tcPr>
            <w:tcW w:w="0" w:type="auto"/>
            <w:hideMark/>
          </w:tcPr>
          <w:p w14:paraId="4EEB9E3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131</w:t>
            </w:r>
          </w:p>
        </w:tc>
        <w:tc>
          <w:tcPr>
            <w:tcW w:w="0" w:type="auto"/>
            <w:hideMark/>
          </w:tcPr>
          <w:p w14:paraId="40223D7D"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75</w:t>
            </w:r>
          </w:p>
        </w:tc>
        <w:tc>
          <w:tcPr>
            <w:tcW w:w="0" w:type="auto"/>
            <w:hideMark/>
          </w:tcPr>
          <w:p w14:paraId="7C9DBF25"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65</w:t>
            </w:r>
          </w:p>
        </w:tc>
        <w:tc>
          <w:tcPr>
            <w:tcW w:w="0" w:type="auto"/>
            <w:hideMark/>
          </w:tcPr>
          <w:p w14:paraId="4ABAED5F"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141</w:t>
            </w:r>
          </w:p>
        </w:tc>
      </w:tr>
      <w:tr w:rsidR="003B2681" w:rsidRPr="00EF3D11" w14:paraId="611227B0" w14:textId="77777777" w:rsidTr="008608DC">
        <w:tc>
          <w:tcPr>
            <w:tcW w:w="0" w:type="auto"/>
            <w:hideMark/>
          </w:tcPr>
          <w:p w14:paraId="783D7506"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2023</w:t>
            </w:r>
          </w:p>
        </w:tc>
        <w:tc>
          <w:tcPr>
            <w:tcW w:w="0" w:type="auto"/>
            <w:hideMark/>
          </w:tcPr>
          <w:p w14:paraId="68BF4D28"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100</w:t>
            </w:r>
          </w:p>
        </w:tc>
        <w:tc>
          <w:tcPr>
            <w:tcW w:w="0" w:type="auto"/>
            <w:hideMark/>
          </w:tcPr>
          <w:p w14:paraId="0DFFE80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98</w:t>
            </w:r>
          </w:p>
        </w:tc>
        <w:tc>
          <w:tcPr>
            <w:tcW w:w="0" w:type="auto"/>
            <w:hideMark/>
          </w:tcPr>
          <w:p w14:paraId="2D74142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61</w:t>
            </w:r>
          </w:p>
        </w:tc>
        <w:tc>
          <w:tcPr>
            <w:tcW w:w="0" w:type="auto"/>
            <w:hideMark/>
          </w:tcPr>
          <w:p w14:paraId="5934FE71"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137</w:t>
            </w:r>
          </w:p>
        </w:tc>
      </w:tr>
      <w:tr w:rsidR="003B2681" w:rsidRPr="00EF3D11" w14:paraId="62F82FA2" w14:textId="77777777" w:rsidTr="008608DC">
        <w:tc>
          <w:tcPr>
            <w:tcW w:w="0" w:type="auto"/>
            <w:hideMark/>
          </w:tcPr>
          <w:p w14:paraId="108987B2"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2024</w:t>
            </w:r>
          </w:p>
        </w:tc>
        <w:tc>
          <w:tcPr>
            <w:tcW w:w="0" w:type="auto"/>
            <w:hideMark/>
          </w:tcPr>
          <w:p w14:paraId="07277BB4"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103</w:t>
            </w:r>
          </w:p>
        </w:tc>
        <w:tc>
          <w:tcPr>
            <w:tcW w:w="0" w:type="auto"/>
            <w:hideMark/>
          </w:tcPr>
          <w:p w14:paraId="10C1592C"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105</w:t>
            </w:r>
          </w:p>
        </w:tc>
        <w:tc>
          <w:tcPr>
            <w:tcW w:w="0" w:type="auto"/>
            <w:hideMark/>
          </w:tcPr>
          <w:p w14:paraId="6486A9F9"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67</w:t>
            </w:r>
          </w:p>
        </w:tc>
        <w:tc>
          <w:tcPr>
            <w:tcW w:w="0" w:type="auto"/>
            <w:hideMark/>
          </w:tcPr>
          <w:p w14:paraId="1D33B01E" w14:textId="77777777" w:rsidR="003B2681" w:rsidRPr="00EF3D11" w:rsidRDefault="003B2681" w:rsidP="008608DC">
            <w:pPr>
              <w:spacing w:after="160" w:line="360" w:lineRule="auto"/>
              <w:rPr>
                <w:rFonts w:ascii="Arial" w:hAnsi="Arial" w:cs="Arial"/>
                <w:b/>
                <w:bCs/>
                <w:sz w:val="24"/>
                <w:szCs w:val="24"/>
              </w:rPr>
            </w:pPr>
            <w:r w:rsidRPr="00EF3D11">
              <w:rPr>
                <w:rFonts w:ascii="Arial" w:hAnsi="Arial" w:cs="Arial"/>
                <w:b/>
                <w:bCs/>
                <w:sz w:val="24"/>
                <w:szCs w:val="24"/>
              </w:rPr>
              <w:t>141</w:t>
            </w:r>
          </w:p>
        </w:tc>
      </w:tr>
    </w:tbl>
    <w:p w14:paraId="664857A7" w14:textId="77777777" w:rsidR="003B2681" w:rsidRPr="00EF3D11" w:rsidRDefault="003B2681" w:rsidP="003B2681">
      <w:pPr>
        <w:spacing w:line="360" w:lineRule="auto"/>
        <w:rPr>
          <w:rFonts w:ascii="Arial" w:hAnsi="Arial" w:cs="Arial"/>
          <w:sz w:val="24"/>
          <w:szCs w:val="24"/>
        </w:rPr>
      </w:pPr>
    </w:p>
    <w:p w14:paraId="0057A0E7"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cash conversion cycle has increased by five years to 141 days of conversion, which reveals decreasing operational efficiency. The lengthy receivables turnover and inventory is due to both slow receivables turnover and slow collection of </w:t>
      </w:r>
      <w:proofErr w:type="gramStart"/>
      <w:r w:rsidRPr="00EF3D11">
        <w:rPr>
          <w:rFonts w:ascii="Arial" w:hAnsi="Arial" w:cs="Arial"/>
          <w:sz w:val="24"/>
          <w:szCs w:val="24"/>
        </w:rPr>
        <w:t>inventory</w:t>
      </w:r>
      <w:proofErr w:type="gramEnd"/>
      <w:r w:rsidRPr="00EF3D11">
        <w:rPr>
          <w:rFonts w:ascii="Arial" w:hAnsi="Arial" w:cs="Arial"/>
          <w:sz w:val="24"/>
          <w:szCs w:val="24"/>
        </w:rPr>
        <w:t xml:space="preserve"> that signifies poor demand projection, low credit discipline, and possible inefficiencies in production planning. The long cash conversion cycle does not only accessibly tie up good liquidity, but also raises reliance on external capital, thus placing the financial risk high within a hopeless situation.</w:t>
      </w:r>
    </w:p>
    <w:p w14:paraId="3CC45B5E"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3.2 Receivables Management</w:t>
      </w:r>
    </w:p>
    <w:p w14:paraId="53F1E763" w14:textId="58B8C390"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lastRenderedPageBreak/>
        <w:t xml:space="preserve">The cash cycle of GE should be </w:t>
      </w:r>
      <w:proofErr w:type="spellStart"/>
      <w:r w:rsidRPr="00EF3D11">
        <w:rPr>
          <w:rFonts w:ascii="Arial" w:hAnsi="Arial" w:cs="Arial"/>
          <w:sz w:val="24"/>
          <w:szCs w:val="24"/>
        </w:rPr>
        <w:t>optimised</w:t>
      </w:r>
      <w:proofErr w:type="spellEnd"/>
      <w:r w:rsidRPr="00EF3D11">
        <w:rPr>
          <w:rFonts w:ascii="Arial" w:hAnsi="Arial" w:cs="Arial"/>
          <w:sz w:val="24"/>
          <w:szCs w:val="24"/>
        </w:rPr>
        <w:t xml:space="preserve"> by effective management of receivables. The increase in receivables occurred as </w:t>
      </w:r>
      <w:r w:rsidR="00222693">
        <w:rPr>
          <w:rFonts w:ascii="Arial" w:hAnsi="Arial" w:cs="Arial"/>
          <w:sz w:val="24"/>
          <w:szCs w:val="24"/>
        </w:rPr>
        <w:t>£</w:t>
      </w:r>
      <w:r w:rsidRPr="00EF3D11">
        <w:rPr>
          <w:rFonts w:ascii="Arial" w:hAnsi="Arial" w:cs="Arial"/>
          <w:sz w:val="24"/>
          <w:szCs w:val="24"/>
        </w:rPr>
        <w:t xml:space="preserve">112.3 </w:t>
      </w:r>
      <w:proofErr w:type="gramStart"/>
      <w:r w:rsidRPr="00EF3D11">
        <w:rPr>
          <w:rFonts w:ascii="Arial" w:hAnsi="Arial" w:cs="Arial"/>
          <w:sz w:val="24"/>
          <w:szCs w:val="24"/>
        </w:rPr>
        <w:t>billion of</w:t>
      </w:r>
      <w:proofErr w:type="gramEnd"/>
      <w:r w:rsidRPr="00EF3D11">
        <w:rPr>
          <w:rFonts w:ascii="Arial" w:hAnsi="Arial" w:cs="Arial"/>
          <w:sz w:val="24"/>
          <w:szCs w:val="24"/>
        </w:rPr>
        <w:t xml:space="preserve"> receivables turned into </w:t>
      </w:r>
      <w:r w:rsidR="00222693">
        <w:rPr>
          <w:rFonts w:ascii="Arial" w:hAnsi="Arial" w:cs="Arial"/>
          <w:sz w:val="24"/>
          <w:szCs w:val="24"/>
        </w:rPr>
        <w:t>£</w:t>
      </w:r>
      <w:r w:rsidRPr="00EF3D11">
        <w:rPr>
          <w:rFonts w:ascii="Arial" w:hAnsi="Arial" w:cs="Arial"/>
          <w:sz w:val="24"/>
          <w:szCs w:val="24"/>
        </w:rPr>
        <w:t xml:space="preserve">114.2 </w:t>
      </w:r>
      <w:proofErr w:type="gramStart"/>
      <w:r w:rsidRPr="00EF3D11">
        <w:rPr>
          <w:rFonts w:ascii="Arial" w:hAnsi="Arial" w:cs="Arial"/>
          <w:sz w:val="24"/>
          <w:szCs w:val="24"/>
        </w:rPr>
        <w:t>billion of</w:t>
      </w:r>
      <w:proofErr w:type="gramEnd"/>
      <w:r w:rsidRPr="00EF3D11">
        <w:rPr>
          <w:rFonts w:ascii="Arial" w:hAnsi="Arial" w:cs="Arial"/>
          <w:sz w:val="24"/>
          <w:szCs w:val="24"/>
        </w:rPr>
        <w:t xml:space="preserve"> receivables even with a decrease in net sales, raising the ratio of receivables to net sales to 20.7-28.9. This means that there are poor collection policies and credit monitoring. </w:t>
      </w:r>
    </w:p>
    <w:p w14:paraId="024698B6"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In response to this, GE ought to implement automated credit scoring to perform real-time risk assessment and reduce the credit terms on overdue accounts (Deloitte, 2023). Inflows </w:t>
      </w:r>
      <w:proofErr w:type="gramStart"/>
      <w:r w:rsidRPr="00EF3D11">
        <w:rPr>
          <w:rFonts w:ascii="Arial" w:hAnsi="Arial" w:cs="Arial"/>
          <w:sz w:val="24"/>
          <w:szCs w:val="24"/>
        </w:rPr>
        <w:t>can be</w:t>
      </w:r>
      <w:proofErr w:type="gramEnd"/>
      <w:r w:rsidRPr="00EF3D11">
        <w:rPr>
          <w:rFonts w:ascii="Arial" w:hAnsi="Arial" w:cs="Arial"/>
          <w:sz w:val="24"/>
          <w:szCs w:val="24"/>
        </w:rPr>
        <w:t xml:space="preserve"> also led to hurry, however, without compromising relationship with customers, by using dynamic discounting, which consists of providing small incentives to make payments on time (McKinsey, 2024). These would have an impact of lowering the Days Sales Outstanding (DSO) by 20-25 days and this would unlock a lot of cash in the hands and would not be dependent on short-term borrowing. </w:t>
      </w:r>
    </w:p>
    <w:p w14:paraId="695D2620"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3.3 Inventory Management</w:t>
      </w:r>
    </w:p>
    <w:p w14:paraId="358C99AE" w14:textId="22FBFECD"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Inv. While the inventory levels dropped to </w:t>
      </w:r>
      <w:r w:rsidR="00222693">
        <w:rPr>
          <w:rFonts w:ascii="Arial" w:hAnsi="Arial" w:cs="Arial"/>
          <w:sz w:val="24"/>
          <w:szCs w:val="24"/>
        </w:rPr>
        <w:t>£</w:t>
      </w:r>
      <w:r w:rsidRPr="00EF3D11">
        <w:rPr>
          <w:rFonts w:ascii="Arial" w:hAnsi="Arial" w:cs="Arial"/>
          <w:sz w:val="24"/>
          <w:szCs w:val="24"/>
        </w:rPr>
        <w:t xml:space="preserve">79 billion in 2024 compared to </w:t>
      </w:r>
      <w:r w:rsidR="00222693">
        <w:rPr>
          <w:rFonts w:ascii="Arial" w:hAnsi="Arial" w:cs="Arial"/>
          <w:sz w:val="24"/>
          <w:szCs w:val="24"/>
        </w:rPr>
        <w:t>£</w:t>
      </w:r>
      <w:r w:rsidRPr="00EF3D11">
        <w:rPr>
          <w:rFonts w:ascii="Arial" w:hAnsi="Arial" w:cs="Arial"/>
          <w:sz w:val="24"/>
          <w:szCs w:val="24"/>
        </w:rPr>
        <w:t xml:space="preserve">140 billion in 2022, the drop is primarily due to write-downs, and reduction of production and not to better efficiency. The inventory turnover is at 3.5x, which is less than 5.8x industry average (PwC, 2024), indicating inefficiency that occupies capital and </w:t>
      </w:r>
      <w:proofErr w:type="gramStart"/>
      <w:r w:rsidRPr="00EF3D11">
        <w:rPr>
          <w:rFonts w:ascii="Arial" w:hAnsi="Arial" w:cs="Arial"/>
          <w:sz w:val="24"/>
          <w:szCs w:val="24"/>
        </w:rPr>
        <w:t>increase</w:t>
      </w:r>
      <w:proofErr w:type="gramEnd"/>
      <w:r w:rsidRPr="00EF3D11">
        <w:rPr>
          <w:rFonts w:ascii="Arial" w:hAnsi="Arial" w:cs="Arial"/>
          <w:sz w:val="24"/>
          <w:szCs w:val="24"/>
        </w:rPr>
        <w:t xml:space="preserve"> the risk of obsolescence. </w:t>
      </w:r>
    </w:p>
    <w:p w14:paraId="6DF082F2" w14:textId="77777777" w:rsidR="003B2681" w:rsidRPr="00EF3D11" w:rsidRDefault="003B2681" w:rsidP="003B2681">
      <w:pPr>
        <w:spacing w:line="360" w:lineRule="auto"/>
        <w:rPr>
          <w:rFonts w:ascii="Arial" w:hAnsi="Arial" w:cs="Arial"/>
          <w:sz w:val="24"/>
          <w:szCs w:val="24"/>
        </w:rPr>
      </w:pPr>
      <w:proofErr w:type="gramStart"/>
      <w:r w:rsidRPr="00EF3D11">
        <w:rPr>
          <w:rFonts w:ascii="Arial" w:hAnsi="Arial" w:cs="Arial"/>
          <w:sz w:val="24"/>
          <w:szCs w:val="24"/>
        </w:rPr>
        <w:t>In order to</w:t>
      </w:r>
      <w:proofErr w:type="gramEnd"/>
      <w:r w:rsidRPr="00EF3D11">
        <w:rPr>
          <w:rFonts w:ascii="Arial" w:hAnsi="Arial" w:cs="Arial"/>
          <w:sz w:val="24"/>
          <w:szCs w:val="24"/>
        </w:rPr>
        <w:t xml:space="preserve"> streamline the inventory, GE ought to apply lean principles like Just-in-Time (JIT) and improve Sales and Operations Planning (S&amp;OP) to ensure production and the actual demand are aligned (Christopher, 2016). The implementation of the forecasting based on AI will enhance the precision of predicting seasonal demand and customer trends, reducing the amount of stock waste without decreasing service delivery (Accenture, 2024).</w:t>
      </w:r>
    </w:p>
    <w:p w14:paraId="3EDC7CD8"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3.4 Payables and Supplier Relations</w:t>
      </w:r>
    </w:p>
    <w:p w14:paraId="2BAE38EC" w14:textId="393FFA11"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size of accounts payable for 2023 is </w:t>
      </w:r>
      <w:r w:rsidR="00222693">
        <w:rPr>
          <w:rFonts w:ascii="Arial" w:hAnsi="Arial" w:cs="Arial"/>
          <w:sz w:val="24"/>
          <w:szCs w:val="24"/>
        </w:rPr>
        <w:t>£</w:t>
      </w:r>
      <w:r w:rsidRPr="00EF3D11">
        <w:rPr>
          <w:rFonts w:ascii="Arial" w:hAnsi="Arial" w:cs="Arial"/>
          <w:sz w:val="24"/>
          <w:szCs w:val="24"/>
        </w:rPr>
        <w:t xml:space="preserve">57 billion, whereas the figure is </w:t>
      </w:r>
      <w:r w:rsidR="00222693">
        <w:rPr>
          <w:rFonts w:ascii="Arial" w:hAnsi="Arial" w:cs="Arial"/>
          <w:sz w:val="24"/>
          <w:szCs w:val="24"/>
        </w:rPr>
        <w:t>£</w:t>
      </w:r>
      <w:r w:rsidRPr="00EF3D11">
        <w:rPr>
          <w:rFonts w:ascii="Arial" w:hAnsi="Arial" w:cs="Arial"/>
          <w:sz w:val="24"/>
          <w:szCs w:val="24"/>
        </w:rPr>
        <w:t xml:space="preserve">72 billion in 2024. Although this extension will </w:t>
      </w:r>
      <w:proofErr w:type="gramStart"/>
      <w:r w:rsidRPr="00EF3D11">
        <w:rPr>
          <w:rFonts w:ascii="Arial" w:hAnsi="Arial" w:cs="Arial"/>
          <w:sz w:val="24"/>
          <w:szCs w:val="24"/>
        </w:rPr>
        <w:t>help in temporarily maintaining</w:t>
      </w:r>
      <w:proofErr w:type="gramEnd"/>
      <w:r w:rsidRPr="00EF3D11">
        <w:rPr>
          <w:rFonts w:ascii="Arial" w:hAnsi="Arial" w:cs="Arial"/>
          <w:sz w:val="24"/>
          <w:szCs w:val="24"/>
        </w:rPr>
        <w:t xml:space="preserve"> the liquidity, this may hurt </w:t>
      </w:r>
      <w:proofErr w:type="gramStart"/>
      <w:r w:rsidRPr="00EF3D11">
        <w:rPr>
          <w:rFonts w:ascii="Arial" w:hAnsi="Arial" w:cs="Arial"/>
          <w:sz w:val="24"/>
          <w:szCs w:val="24"/>
        </w:rPr>
        <w:t>supplier</w:t>
      </w:r>
      <w:proofErr w:type="gramEnd"/>
      <w:r w:rsidRPr="00EF3D11">
        <w:rPr>
          <w:rFonts w:ascii="Arial" w:hAnsi="Arial" w:cs="Arial"/>
          <w:sz w:val="24"/>
          <w:szCs w:val="24"/>
        </w:rPr>
        <w:t xml:space="preserve"> confidence and stability of the supply chain. It should be a balanced solution: supplier financing or reverse factoring solutions can increase the payment terms in a responsible manner without losing the goodwill of suppliers (EY, </w:t>
      </w:r>
      <w:r w:rsidRPr="00EF3D11">
        <w:rPr>
          <w:rFonts w:ascii="Arial" w:hAnsi="Arial" w:cs="Arial"/>
          <w:sz w:val="24"/>
          <w:szCs w:val="24"/>
        </w:rPr>
        <w:lastRenderedPageBreak/>
        <w:t xml:space="preserve">2024). Consumer </w:t>
      </w:r>
      <w:proofErr w:type="gramStart"/>
      <w:r w:rsidRPr="00EF3D11">
        <w:rPr>
          <w:rFonts w:ascii="Arial" w:hAnsi="Arial" w:cs="Arial"/>
          <w:sz w:val="24"/>
          <w:szCs w:val="24"/>
        </w:rPr>
        <w:t>electronics</w:t>
      </w:r>
      <w:proofErr w:type="gramEnd"/>
      <w:r w:rsidRPr="00EF3D11">
        <w:rPr>
          <w:rFonts w:ascii="Arial" w:hAnsi="Arial" w:cs="Arial"/>
          <w:sz w:val="24"/>
          <w:szCs w:val="24"/>
        </w:rPr>
        <w:t xml:space="preserve"> This applies to consumer electronics, where it is important to have good relationships with suppliers as a way of keeping </w:t>
      </w:r>
      <w:proofErr w:type="gramStart"/>
      <w:r w:rsidRPr="00EF3D11">
        <w:rPr>
          <w:rFonts w:ascii="Arial" w:hAnsi="Arial" w:cs="Arial"/>
          <w:sz w:val="24"/>
          <w:szCs w:val="24"/>
        </w:rPr>
        <w:t>the production</w:t>
      </w:r>
      <w:proofErr w:type="gramEnd"/>
      <w:r w:rsidRPr="00EF3D11">
        <w:rPr>
          <w:rFonts w:ascii="Arial" w:hAnsi="Arial" w:cs="Arial"/>
          <w:sz w:val="24"/>
          <w:szCs w:val="24"/>
        </w:rPr>
        <w:t xml:space="preserve"> on track within the component supply.</w:t>
      </w:r>
    </w:p>
    <w:p w14:paraId="55CA7007"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3.5 Working Capital Financing Options</w:t>
      </w:r>
    </w:p>
    <w:p w14:paraId="5238A285"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In addition to the operational reforms, both short and long-term financing should be sought by GE </w:t>
      </w:r>
      <w:proofErr w:type="gramStart"/>
      <w:r w:rsidRPr="00EF3D11">
        <w:rPr>
          <w:rFonts w:ascii="Arial" w:hAnsi="Arial" w:cs="Arial"/>
          <w:sz w:val="24"/>
          <w:szCs w:val="24"/>
        </w:rPr>
        <w:t>in order to</w:t>
      </w:r>
      <w:proofErr w:type="gramEnd"/>
      <w:r w:rsidRPr="00EF3D11">
        <w:rPr>
          <w:rFonts w:ascii="Arial" w:hAnsi="Arial" w:cs="Arial"/>
          <w:sz w:val="24"/>
          <w:szCs w:val="24"/>
        </w:rPr>
        <w:t xml:space="preserve"> enhance the liquidity. Bank overdrafts and revolving credit lines can be considered as short-term solutions, a flexible and expensive option, commercial paper on well-rated companies, and invoice discounting, which is the quickest way to get inflows, selling receivables with a discount (KPMG, 2023).</w:t>
      </w:r>
    </w:p>
    <w:p w14:paraId="61BFAA5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 Long term alternatives include term loans where the company gains stability but becomes more leveraged and equity financing where the company loses the need to be debt-</w:t>
      </w:r>
      <w:proofErr w:type="gramStart"/>
      <w:r w:rsidRPr="00EF3D11">
        <w:rPr>
          <w:rFonts w:ascii="Arial" w:hAnsi="Arial" w:cs="Arial"/>
          <w:sz w:val="24"/>
          <w:szCs w:val="24"/>
        </w:rPr>
        <w:t>dependent</w:t>
      </w:r>
      <w:proofErr w:type="gramEnd"/>
      <w:r w:rsidRPr="00EF3D11">
        <w:rPr>
          <w:rFonts w:ascii="Arial" w:hAnsi="Arial" w:cs="Arial"/>
          <w:sz w:val="24"/>
          <w:szCs w:val="24"/>
        </w:rPr>
        <w:t xml:space="preserve"> but it becomes diluted. Since GE has a limited credit situation, a combined approach is best: short-term revolving facilities to provide liquidity and medium-term equity investments to support the balance sheet and turnaround of initiatives.</w:t>
      </w:r>
    </w:p>
    <w:p w14:paraId="10F5FC1C"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3.6 Recommended Working Capital Reforms</w:t>
      </w:r>
    </w:p>
    <w:p w14:paraId="47D57C5D"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 main reforms that can be made to increase liquidity and efficiency are: </w:t>
      </w:r>
    </w:p>
    <w:p w14:paraId="6410CC7B"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1. Receivables: Real-time credit analytics </w:t>
      </w:r>
      <w:proofErr w:type="gramStart"/>
      <w:r w:rsidRPr="00EF3D11">
        <w:rPr>
          <w:rFonts w:ascii="Arial" w:hAnsi="Arial" w:cs="Arial"/>
          <w:sz w:val="24"/>
          <w:szCs w:val="24"/>
        </w:rPr>
        <w:t>would classify</w:t>
      </w:r>
      <w:proofErr w:type="gramEnd"/>
      <w:r w:rsidRPr="00EF3D11">
        <w:rPr>
          <w:rFonts w:ascii="Arial" w:hAnsi="Arial" w:cs="Arial"/>
          <w:sz w:val="24"/>
          <w:szCs w:val="24"/>
        </w:rPr>
        <w:t xml:space="preserve"> customers based on their payment reliability, tighten terms to high-risk customers and reward payers as soon as possible. </w:t>
      </w:r>
    </w:p>
    <w:p w14:paraId="73817C92"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2. Inventory It makes use of AI-powered demand forecasting and uses it within production planning to reduce holding cost and eliminate write-downs. </w:t>
      </w:r>
    </w:p>
    <w:p w14:paraId="4994F0D6" w14:textId="77777777" w:rsidR="003B2681" w:rsidRDefault="003B2681" w:rsidP="003B2681">
      <w:pPr>
        <w:spacing w:line="360" w:lineRule="auto"/>
        <w:rPr>
          <w:rFonts w:ascii="Arial" w:hAnsi="Arial" w:cs="Arial"/>
          <w:sz w:val="24"/>
          <w:szCs w:val="24"/>
        </w:rPr>
      </w:pPr>
      <w:r w:rsidRPr="00EF3D11">
        <w:rPr>
          <w:rFonts w:ascii="Arial" w:hAnsi="Arial" w:cs="Arial"/>
          <w:sz w:val="24"/>
          <w:szCs w:val="24"/>
        </w:rPr>
        <w:t xml:space="preserve">3. </w:t>
      </w:r>
      <w:r w:rsidRPr="00115D9B">
        <w:rPr>
          <w:rFonts w:ascii="Arial" w:hAnsi="Arial" w:cs="Arial"/>
          <w:sz w:val="24"/>
          <w:szCs w:val="24"/>
        </w:rPr>
        <w:t>Adopt reverse factoring and supply-chain financing to extend payment terms without hurting relationships with suppliers.</w:t>
      </w:r>
    </w:p>
    <w:p w14:paraId="71E82F0F"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4. Cash Forecasting: Bigger plans will be rolled </w:t>
      </w:r>
      <w:proofErr w:type="gramStart"/>
      <w:r w:rsidRPr="00EF3D11">
        <w:rPr>
          <w:rFonts w:ascii="Arial" w:hAnsi="Arial" w:cs="Arial"/>
          <w:sz w:val="24"/>
          <w:szCs w:val="24"/>
        </w:rPr>
        <w:t>to</w:t>
      </w:r>
      <w:proofErr w:type="gramEnd"/>
      <w:r w:rsidRPr="00EF3D11">
        <w:rPr>
          <w:rFonts w:ascii="Arial" w:hAnsi="Arial" w:cs="Arial"/>
          <w:sz w:val="24"/>
          <w:szCs w:val="24"/>
        </w:rPr>
        <w:t xml:space="preserve"> 13-week cash flow models to enhance visibility of short-term (Grant Thornton, 2023). </w:t>
      </w:r>
    </w:p>
    <w:p w14:paraId="7362532C" w14:textId="6E405B7E" w:rsidR="003B2681" w:rsidRDefault="003B2681" w:rsidP="003B2681">
      <w:pPr>
        <w:spacing w:line="360" w:lineRule="auto"/>
        <w:rPr>
          <w:rFonts w:ascii="Arial" w:hAnsi="Arial" w:cs="Arial"/>
          <w:sz w:val="24"/>
          <w:szCs w:val="24"/>
        </w:rPr>
      </w:pPr>
      <w:r w:rsidRPr="00314F5C">
        <w:rPr>
          <w:rFonts w:ascii="Arial" w:hAnsi="Arial" w:cs="Arial"/>
          <w:sz w:val="24"/>
          <w:szCs w:val="24"/>
        </w:rPr>
        <w:t xml:space="preserve">Together, they can turn down to a minimum of 25-30 days the cash conversion cycle at GE, and this will free </w:t>
      </w:r>
      <w:r w:rsidR="00222693">
        <w:rPr>
          <w:rFonts w:ascii="Arial" w:hAnsi="Arial" w:cs="Arial"/>
          <w:sz w:val="24"/>
          <w:szCs w:val="24"/>
        </w:rPr>
        <w:t>£</w:t>
      </w:r>
      <w:r w:rsidRPr="00314F5C">
        <w:rPr>
          <w:rFonts w:ascii="Arial" w:hAnsi="Arial" w:cs="Arial"/>
          <w:sz w:val="24"/>
          <w:szCs w:val="24"/>
        </w:rPr>
        <w:t>25-30 billion dollars of cash-needy turnaround financing and debt service.</w:t>
      </w:r>
    </w:p>
    <w:p w14:paraId="1E1DC196"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lastRenderedPageBreak/>
        <w:t>3.7 Strategic Implications</w:t>
      </w:r>
    </w:p>
    <w:p w14:paraId="7698620B" w14:textId="77777777" w:rsidR="003B2681" w:rsidRDefault="003B2681" w:rsidP="003B2681">
      <w:pPr>
        <w:spacing w:line="360" w:lineRule="auto"/>
        <w:rPr>
          <w:rFonts w:ascii="Arial" w:hAnsi="Arial" w:cs="Arial"/>
          <w:sz w:val="24"/>
          <w:szCs w:val="24"/>
        </w:rPr>
      </w:pPr>
      <w:r w:rsidRPr="00314F5C">
        <w:rPr>
          <w:rFonts w:ascii="Arial" w:hAnsi="Arial" w:cs="Arial"/>
          <w:sz w:val="24"/>
          <w:szCs w:val="24"/>
        </w:rPr>
        <w:t xml:space="preserve">The trend of financial performance at GE suggests that cash-flow should be disciplined and investments should be </w:t>
      </w:r>
      <w:proofErr w:type="spellStart"/>
      <w:r w:rsidRPr="00314F5C">
        <w:rPr>
          <w:rFonts w:ascii="Arial" w:hAnsi="Arial" w:cs="Arial"/>
          <w:sz w:val="24"/>
          <w:szCs w:val="24"/>
        </w:rPr>
        <w:t>prioritised</w:t>
      </w:r>
      <w:proofErr w:type="spellEnd"/>
      <w:r w:rsidRPr="00314F5C">
        <w:rPr>
          <w:rFonts w:ascii="Arial" w:hAnsi="Arial" w:cs="Arial"/>
          <w:sz w:val="24"/>
          <w:szCs w:val="24"/>
        </w:rPr>
        <w:t xml:space="preserve"> on those that will </w:t>
      </w:r>
      <w:proofErr w:type="spellStart"/>
      <w:r w:rsidRPr="00314F5C">
        <w:rPr>
          <w:rFonts w:ascii="Arial" w:hAnsi="Arial" w:cs="Arial"/>
          <w:sz w:val="24"/>
          <w:szCs w:val="24"/>
        </w:rPr>
        <w:t>optimise</w:t>
      </w:r>
      <w:proofErr w:type="spellEnd"/>
      <w:r w:rsidRPr="00314F5C">
        <w:rPr>
          <w:rFonts w:ascii="Arial" w:hAnsi="Arial" w:cs="Arial"/>
          <w:sz w:val="24"/>
          <w:szCs w:val="24"/>
        </w:rPr>
        <w:t xml:space="preserve"> value generation. Increasing operational efficiency, short-term exposure to debts, and increasing working-capital turnover will play a crucial role in regaining financial strength. Notably, </w:t>
      </w:r>
      <w:proofErr w:type="gramStart"/>
      <w:r w:rsidRPr="00314F5C">
        <w:rPr>
          <w:rFonts w:ascii="Arial" w:hAnsi="Arial" w:cs="Arial"/>
          <w:sz w:val="24"/>
          <w:szCs w:val="24"/>
        </w:rPr>
        <w:t>a higher</w:t>
      </w:r>
      <w:proofErr w:type="gramEnd"/>
      <w:r w:rsidRPr="00314F5C">
        <w:rPr>
          <w:rFonts w:ascii="Arial" w:hAnsi="Arial" w:cs="Arial"/>
          <w:sz w:val="24"/>
          <w:szCs w:val="24"/>
        </w:rPr>
        <w:t xml:space="preserve"> liquidity will facilitate GE </w:t>
      </w:r>
      <w:proofErr w:type="gramStart"/>
      <w:r w:rsidRPr="00314F5C">
        <w:rPr>
          <w:rFonts w:ascii="Arial" w:hAnsi="Arial" w:cs="Arial"/>
          <w:sz w:val="24"/>
          <w:szCs w:val="24"/>
        </w:rPr>
        <w:t>to fund</w:t>
      </w:r>
      <w:proofErr w:type="gramEnd"/>
      <w:r w:rsidRPr="00314F5C">
        <w:rPr>
          <w:rFonts w:ascii="Arial" w:hAnsi="Arial" w:cs="Arial"/>
          <w:sz w:val="24"/>
          <w:szCs w:val="24"/>
        </w:rPr>
        <w:t xml:space="preserve"> high-return projects. In accordance with the outcome of the investment appraisal process, Project C is the most viable financial opportunity, as it will provide the best NPV, IRR, ARR and Profitability Index. Such value-accretive investments, with a firm focus on cost control and selective capital </w:t>
      </w:r>
      <w:proofErr w:type="gramStart"/>
      <w:r w:rsidRPr="00314F5C">
        <w:rPr>
          <w:rFonts w:ascii="Arial" w:hAnsi="Arial" w:cs="Arial"/>
          <w:sz w:val="24"/>
          <w:szCs w:val="24"/>
        </w:rPr>
        <w:t>allocation</w:t>
      </w:r>
      <w:proofErr w:type="gramEnd"/>
      <w:r w:rsidRPr="00314F5C">
        <w:rPr>
          <w:rFonts w:ascii="Arial" w:hAnsi="Arial" w:cs="Arial"/>
          <w:sz w:val="24"/>
          <w:szCs w:val="24"/>
        </w:rPr>
        <w:t xml:space="preserve"> will help in the long-run competitiveness and shareholder value.</w:t>
      </w:r>
    </w:p>
    <w:p w14:paraId="4EF635EF"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4. Strategic Financial Restructuring Plan</w:t>
      </w:r>
    </w:p>
    <w:p w14:paraId="567FE811"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4.1 Overview</w:t>
      </w:r>
    </w:p>
    <w:p w14:paraId="03F6B0A4"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Financial restructuring is an important tool in salvaging troubled companies with liquidity crunch and a dwindling investor confidence. It involves the process of reshaping a company capital structure by rebalancing debt and equity </w:t>
      </w:r>
      <w:proofErr w:type="spellStart"/>
      <w:r w:rsidRPr="00EF3D11">
        <w:rPr>
          <w:rFonts w:ascii="Arial" w:hAnsi="Arial" w:cs="Arial"/>
          <w:sz w:val="24"/>
          <w:szCs w:val="24"/>
        </w:rPr>
        <w:t>recapitalisation</w:t>
      </w:r>
      <w:proofErr w:type="spellEnd"/>
      <w:r w:rsidRPr="00EF3D11">
        <w:rPr>
          <w:rFonts w:ascii="Arial" w:hAnsi="Arial" w:cs="Arial"/>
          <w:sz w:val="24"/>
          <w:szCs w:val="24"/>
        </w:rPr>
        <w:t xml:space="preserve"> and redistributing assets to recover solvency, lower financing costs, and enhance company flexibility </w:t>
      </w:r>
      <w:proofErr w:type="gramStart"/>
      <w:r w:rsidRPr="00EF3D11">
        <w:rPr>
          <w:rFonts w:ascii="Arial" w:hAnsi="Arial" w:cs="Arial"/>
          <w:sz w:val="24"/>
          <w:szCs w:val="24"/>
        </w:rPr>
        <w:t>( Altman</w:t>
      </w:r>
      <w:proofErr w:type="gramEnd"/>
      <w:r w:rsidRPr="00EF3D11">
        <w:rPr>
          <w:rFonts w:ascii="Arial" w:hAnsi="Arial" w:cs="Arial"/>
          <w:sz w:val="24"/>
          <w:szCs w:val="24"/>
        </w:rPr>
        <w:t xml:space="preserve"> and Hotchkiss, 2020). </w:t>
      </w:r>
    </w:p>
    <w:p w14:paraId="29E33C9A"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General Electronics (GE) has undergone a downward trend in its financial performance in the last five years. In 2024, it increased its </w:t>
      </w:r>
      <w:proofErr w:type="gramStart"/>
      <w:r w:rsidRPr="00EF3D11">
        <w:rPr>
          <w:rFonts w:ascii="Arial" w:hAnsi="Arial" w:cs="Arial"/>
          <w:sz w:val="24"/>
          <w:szCs w:val="24"/>
        </w:rPr>
        <w:t>debt to equity</w:t>
      </w:r>
      <w:proofErr w:type="gramEnd"/>
      <w:r w:rsidRPr="00EF3D11">
        <w:rPr>
          <w:rFonts w:ascii="Arial" w:hAnsi="Arial" w:cs="Arial"/>
          <w:sz w:val="24"/>
          <w:szCs w:val="24"/>
        </w:rPr>
        <w:t xml:space="preserve"> ratio to 1.11, which is an indication of over-leverage relative to other companies in the consumer electronics industry. Since 2020, retained earnings have decreased by 36% with a series of losses and dividend suspensions. The capital base of the company is </w:t>
      </w:r>
      <w:proofErr w:type="gramStart"/>
      <w:r w:rsidRPr="00EF3D11">
        <w:rPr>
          <w:rFonts w:ascii="Arial" w:hAnsi="Arial" w:cs="Arial"/>
          <w:sz w:val="24"/>
          <w:szCs w:val="24"/>
        </w:rPr>
        <w:t>currently</w:t>
      </w:r>
      <w:proofErr w:type="gramEnd"/>
      <w:r w:rsidRPr="00EF3D11">
        <w:rPr>
          <w:rFonts w:ascii="Arial" w:hAnsi="Arial" w:cs="Arial"/>
          <w:sz w:val="24"/>
          <w:szCs w:val="24"/>
        </w:rPr>
        <w:t xml:space="preserve"> </w:t>
      </w:r>
      <w:proofErr w:type="gramStart"/>
      <w:r w:rsidRPr="00EF3D11">
        <w:rPr>
          <w:rFonts w:ascii="Arial" w:hAnsi="Arial" w:cs="Arial"/>
          <w:sz w:val="24"/>
          <w:szCs w:val="24"/>
        </w:rPr>
        <w:t>overly weighted</w:t>
      </w:r>
      <w:proofErr w:type="gramEnd"/>
      <w:r w:rsidRPr="00EF3D11">
        <w:rPr>
          <w:rFonts w:ascii="Arial" w:hAnsi="Arial" w:cs="Arial"/>
          <w:sz w:val="24"/>
          <w:szCs w:val="24"/>
        </w:rPr>
        <w:t xml:space="preserve"> in terms of short-term credit and the payables which increases the risk of refinancing and reduces the possibility of investment. </w:t>
      </w:r>
    </w:p>
    <w:p w14:paraId="0D989C31"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There is then a need to have a complete restructuring strategy to </w:t>
      </w:r>
      <w:proofErr w:type="spellStart"/>
      <w:r w:rsidRPr="00EF3D11">
        <w:rPr>
          <w:rFonts w:ascii="Arial" w:hAnsi="Arial" w:cs="Arial"/>
          <w:sz w:val="24"/>
          <w:szCs w:val="24"/>
        </w:rPr>
        <w:t>maximise</w:t>
      </w:r>
      <w:proofErr w:type="spellEnd"/>
      <w:r w:rsidRPr="00EF3D11">
        <w:rPr>
          <w:rFonts w:ascii="Arial" w:hAnsi="Arial" w:cs="Arial"/>
          <w:sz w:val="24"/>
          <w:szCs w:val="24"/>
        </w:rPr>
        <w:t xml:space="preserve"> the capital structure of GE, reduce its cost of capital, and restore confidence of the stakeholders. The suggested framework incorporates financial engineering, </w:t>
      </w:r>
      <w:proofErr w:type="spellStart"/>
      <w:r w:rsidRPr="00EF3D11">
        <w:rPr>
          <w:rFonts w:ascii="Arial" w:hAnsi="Arial" w:cs="Arial"/>
          <w:sz w:val="24"/>
          <w:szCs w:val="24"/>
        </w:rPr>
        <w:t>rationalisation</w:t>
      </w:r>
      <w:proofErr w:type="spellEnd"/>
      <w:r w:rsidRPr="00EF3D11">
        <w:rPr>
          <w:rFonts w:ascii="Arial" w:hAnsi="Arial" w:cs="Arial"/>
          <w:sz w:val="24"/>
          <w:szCs w:val="24"/>
        </w:rPr>
        <w:t xml:space="preserve"> of operations, and ethical governance to provide a sustainable turn around.</w:t>
      </w:r>
    </w:p>
    <w:p w14:paraId="32ACB8C7" w14:textId="77777777" w:rsidR="003B2681" w:rsidRPr="00EA526E" w:rsidRDefault="003B2681" w:rsidP="003B2681">
      <w:pPr>
        <w:spacing w:line="360" w:lineRule="auto"/>
        <w:rPr>
          <w:rFonts w:ascii="Arial" w:hAnsi="Arial" w:cs="Arial"/>
          <w:b/>
          <w:bCs/>
          <w:sz w:val="24"/>
          <w:szCs w:val="24"/>
        </w:rPr>
      </w:pPr>
      <w:r w:rsidRPr="00EA526E">
        <w:rPr>
          <w:rFonts w:ascii="Arial" w:hAnsi="Arial" w:cs="Arial"/>
          <w:b/>
          <w:bCs/>
          <w:sz w:val="24"/>
          <w:szCs w:val="24"/>
        </w:rPr>
        <w:t>4.2 Proposals of Recommended Financial Restructuring.</w:t>
      </w:r>
    </w:p>
    <w:p w14:paraId="27396DE1" w14:textId="77777777" w:rsidR="003B2681" w:rsidRPr="00EA526E" w:rsidRDefault="003B2681" w:rsidP="003B2681">
      <w:pPr>
        <w:spacing w:line="360" w:lineRule="auto"/>
        <w:rPr>
          <w:rFonts w:ascii="Arial" w:hAnsi="Arial" w:cs="Arial"/>
          <w:b/>
          <w:bCs/>
          <w:sz w:val="24"/>
          <w:szCs w:val="24"/>
        </w:rPr>
      </w:pPr>
    </w:p>
    <w:p w14:paraId="6139246E"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An overall restructuring plan is needed to </w:t>
      </w:r>
      <w:proofErr w:type="spellStart"/>
      <w:r w:rsidRPr="00EA526E">
        <w:rPr>
          <w:rFonts w:ascii="Arial" w:hAnsi="Arial" w:cs="Arial"/>
          <w:sz w:val="24"/>
          <w:szCs w:val="24"/>
        </w:rPr>
        <w:t>stabilise</w:t>
      </w:r>
      <w:proofErr w:type="spellEnd"/>
      <w:r w:rsidRPr="00EA526E">
        <w:rPr>
          <w:rFonts w:ascii="Arial" w:hAnsi="Arial" w:cs="Arial"/>
          <w:sz w:val="24"/>
          <w:szCs w:val="24"/>
        </w:rPr>
        <w:t xml:space="preserve"> the capital structure at GE and re-introduce liquidity and enhance long term financial stability. It is recommended to take four combined actions: debt restructuring, equity </w:t>
      </w:r>
      <w:proofErr w:type="spellStart"/>
      <w:r w:rsidRPr="00EA526E">
        <w:rPr>
          <w:rFonts w:ascii="Arial" w:hAnsi="Arial" w:cs="Arial"/>
          <w:sz w:val="24"/>
          <w:szCs w:val="24"/>
        </w:rPr>
        <w:t>recapitalisation</w:t>
      </w:r>
      <w:proofErr w:type="spellEnd"/>
      <w:r w:rsidRPr="00EA526E">
        <w:rPr>
          <w:rFonts w:ascii="Arial" w:hAnsi="Arial" w:cs="Arial"/>
          <w:sz w:val="24"/>
          <w:szCs w:val="24"/>
        </w:rPr>
        <w:t>, asset divestiture and strategic alliances or mergers.</w:t>
      </w:r>
    </w:p>
    <w:p w14:paraId="68378C0A" w14:textId="77777777" w:rsidR="003B2681" w:rsidRPr="00EA526E" w:rsidRDefault="003B2681" w:rsidP="003B2681">
      <w:pPr>
        <w:spacing w:line="360" w:lineRule="auto"/>
        <w:rPr>
          <w:rFonts w:ascii="Arial" w:hAnsi="Arial" w:cs="Arial"/>
          <w:b/>
          <w:bCs/>
          <w:sz w:val="24"/>
          <w:szCs w:val="24"/>
        </w:rPr>
      </w:pPr>
      <w:r w:rsidRPr="00EA526E">
        <w:rPr>
          <w:rFonts w:ascii="Arial" w:hAnsi="Arial" w:cs="Arial"/>
          <w:b/>
          <w:bCs/>
          <w:sz w:val="24"/>
          <w:szCs w:val="24"/>
        </w:rPr>
        <w:t>a) Debt Restructuring</w:t>
      </w:r>
    </w:p>
    <w:p w14:paraId="3604540B"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The </w:t>
      </w:r>
      <w:proofErr w:type="gramStart"/>
      <w:r w:rsidRPr="00EA526E">
        <w:rPr>
          <w:rFonts w:ascii="Arial" w:hAnsi="Arial" w:cs="Arial"/>
          <w:sz w:val="24"/>
          <w:szCs w:val="24"/>
        </w:rPr>
        <w:t>first priority</w:t>
      </w:r>
      <w:proofErr w:type="gramEnd"/>
      <w:r w:rsidRPr="00EA526E">
        <w:rPr>
          <w:rFonts w:ascii="Arial" w:hAnsi="Arial" w:cs="Arial"/>
          <w:sz w:val="24"/>
          <w:szCs w:val="24"/>
        </w:rPr>
        <w:t xml:space="preserve"> would be the reduction of the debt-service burden. GE ought to renegotiate the current loans by either extending the </w:t>
      </w:r>
      <w:proofErr w:type="gramStart"/>
      <w:r w:rsidRPr="00EA526E">
        <w:rPr>
          <w:rFonts w:ascii="Arial" w:hAnsi="Arial" w:cs="Arial"/>
          <w:sz w:val="24"/>
          <w:szCs w:val="24"/>
        </w:rPr>
        <w:t>maturities</w:t>
      </w:r>
      <w:proofErr w:type="gramEnd"/>
      <w:r w:rsidRPr="00EA526E">
        <w:rPr>
          <w:rFonts w:ascii="Arial" w:hAnsi="Arial" w:cs="Arial"/>
          <w:sz w:val="24"/>
          <w:szCs w:val="24"/>
        </w:rPr>
        <w:t xml:space="preserve">, reducing interest rates or converting part of the debt to equity. Transformation of short-term borrowings into </w:t>
      </w:r>
      <w:proofErr w:type="gramStart"/>
      <w:r w:rsidRPr="00EA526E">
        <w:rPr>
          <w:rFonts w:ascii="Arial" w:hAnsi="Arial" w:cs="Arial"/>
          <w:sz w:val="24"/>
          <w:szCs w:val="24"/>
        </w:rPr>
        <w:t>the long</w:t>
      </w:r>
      <w:proofErr w:type="gramEnd"/>
      <w:r w:rsidRPr="00EA526E">
        <w:rPr>
          <w:rFonts w:ascii="Arial" w:hAnsi="Arial" w:cs="Arial"/>
          <w:sz w:val="24"/>
          <w:szCs w:val="24"/>
        </w:rPr>
        <w:t xml:space="preserve">-term facilities would increase liquidity and predictability of cash-flow (IMF, 2024). Buyout of convertible bonds would generate even less interest on the yearly </w:t>
      </w:r>
      <w:proofErr w:type="gramStart"/>
      <w:r w:rsidRPr="00EA526E">
        <w:rPr>
          <w:rFonts w:ascii="Arial" w:hAnsi="Arial" w:cs="Arial"/>
          <w:sz w:val="24"/>
          <w:szCs w:val="24"/>
        </w:rPr>
        <w:t>cash, and</w:t>
      </w:r>
      <w:proofErr w:type="gramEnd"/>
      <w:r w:rsidRPr="00EA526E">
        <w:rPr>
          <w:rFonts w:ascii="Arial" w:hAnsi="Arial" w:cs="Arial"/>
          <w:sz w:val="24"/>
          <w:szCs w:val="24"/>
        </w:rPr>
        <w:t xml:space="preserve"> encourage investors to participate in cash-linked gains (Damodaran, 2023).</w:t>
      </w:r>
    </w:p>
    <w:p w14:paraId="5F18FFDD" w14:textId="27E0EFA5"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A debt-for-equity swap - turning the liabilities of about </w:t>
      </w:r>
      <w:r w:rsidR="00222693">
        <w:rPr>
          <w:rFonts w:ascii="Arial" w:hAnsi="Arial" w:cs="Arial"/>
          <w:sz w:val="24"/>
          <w:szCs w:val="24"/>
        </w:rPr>
        <w:t>£</w:t>
      </w:r>
      <w:r w:rsidRPr="00EA526E">
        <w:rPr>
          <w:rFonts w:ascii="Arial" w:hAnsi="Arial" w:cs="Arial"/>
          <w:sz w:val="24"/>
          <w:szCs w:val="24"/>
        </w:rPr>
        <w:t xml:space="preserve">20 billion into common stock - would reduce the debt-to-equity ratio of 1.11 to 0.9 which would enhance solvency. These actions are in line with the international precedent of post-crisis recovery in which hybrid instruments and voluntary conversions had a significant effect on the balance sheets (PwC, 2024). Open communication between bondholders and institutional lenders will be vital in saving </w:t>
      </w:r>
      <w:proofErr w:type="gramStart"/>
      <w:r w:rsidRPr="00EA526E">
        <w:rPr>
          <w:rFonts w:ascii="Arial" w:hAnsi="Arial" w:cs="Arial"/>
          <w:sz w:val="24"/>
          <w:szCs w:val="24"/>
        </w:rPr>
        <w:t>the access</w:t>
      </w:r>
      <w:proofErr w:type="gramEnd"/>
      <w:r w:rsidRPr="00EA526E">
        <w:rPr>
          <w:rFonts w:ascii="Arial" w:hAnsi="Arial" w:cs="Arial"/>
          <w:sz w:val="24"/>
          <w:szCs w:val="24"/>
        </w:rPr>
        <w:t xml:space="preserve"> to credit and reducing the </w:t>
      </w:r>
      <w:proofErr w:type="gramStart"/>
      <w:r w:rsidRPr="00EA526E">
        <w:rPr>
          <w:rFonts w:ascii="Arial" w:hAnsi="Arial" w:cs="Arial"/>
          <w:sz w:val="24"/>
          <w:szCs w:val="24"/>
        </w:rPr>
        <w:t>reputational risk</w:t>
      </w:r>
      <w:proofErr w:type="gramEnd"/>
      <w:r w:rsidRPr="00EA526E">
        <w:rPr>
          <w:rFonts w:ascii="Arial" w:hAnsi="Arial" w:cs="Arial"/>
          <w:sz w:val="24"/>
          <w:szCs w:val="24"/>
        </w:rPr>
        <w:t>.</w:t>
      </w:r>
    </w:p>
    <w:p w14:paraId="5D1CA144" w14:textId="77777777" w:rsidR="003B2681" w:rsidRPr="00EA526E" w:rsidRDefault="003B2681" w:rsidP="003B2681">
      <w:pPr>
        <w:spacing w:line="360" w:lineRule="auto"/>
        <w:rPr>
          <w:rFonts w:ascii="Arial" w:hAnsi="Arial" w:cs="Arial"/>
          <w:b/>
          <w:bCs/>
          <w:sz w:val="24"/>
          <w:szCs w:val="24"/>
        </w:rPr>
      </w:pPr>
      <w:r w:rsidRPr="00EA526E">
        <w:rPr>
          <w:rFonts w:ascii="Arial" w:hAnsi="Arial" w:cs="Arial"/>
          <w:b/>
          <w:bCs/>
          <w:sz w:val="24"/>
          <w:szCs w:val="24"/>
        </w:rPr>
        <w:t xml:space="preserve">b) Equity </w:t>
      </w:r>
      <w:proofErr w:type="spellStart"/>
      <w:r w:rsidRPr="00EA526E">
        <w:rPr>
          <w:rFonts w:ascii="Arial" w:hAnsi="Arial" w:cs="Arial"/>
          <w:b/>
          <w:bCs/>
          <w:sz w:val="24"/>
          <w:szCs w:val="24"/>
        </w:rPr>
        <w:t>Recapitalisation</w:t>
      </w:r>
      <w:proofErr w:type="spellEnd"/>
    </w:p>
    <w:p w14:paraId="2E63A1B2" w14:textId="2B7ABC12"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To lower leverage in the long run, GE must undertake long-term sustainability reduction in leverage by launching equity </w:t>
      </w:r>
      <w:proofErr w:type="spellStart"/>
      <w:r w:rsidRPr="00EA526E">
        <w:rPr>
          <w:rFonts w:ascii="Arial" w:hAnsi="Arial" w:cs="Arial"/>
          <w:sz w:val="24"/>
          <w:szCs w:val="24"/>
        </w:rPr>
        <w:t>recapitalisation</w:t>
      </w:r>
      <w:proofErr w:type="spellEnd"/>
      <w:r w:rsidRPr="00EA526E">
        <w:rPr>
          <w:rFonts w:ascii="Arial" w:hAnsi="Arial" w:cs="Arial"/>
          <w:sz w:val="24"/>
          <w:szCs w:val="24"/>
        </w:rPr>
        <w:t xml:space="preserve"> in the form of a rights issue so that the shareholders can purchase the new shares at reduced prices and minimal dilution of the ownership. An offer of 1billion shares at </w:t>
      </w:r>
      <w:r w:rsidR="00222693">
        <w:rPr>
          <w:rFonts w:ascii="Arial" w:hAnsi="Arial" w:cs="Arial"/>
          <w:sz w:val="24"/>
          <w:szCs w:val="24"/>
        </w:rPr>
        <w:t>£</w:t>
      </w:r>
      <w:r w:rsidRPr="00EA526E">
        <w:rPr>
          <w:rFonts w:ascii="Arial" w:hAnsi="Arial" w:cs="Arial"/>
          <w:sz w:val="24"/>
          <w:szCs w:val="24"/>
        </w:rPr>
        <w:t xml:space="preserve">10 each would attract in the region of </w:t>
      </w:r>
      <w:r w:rsidR="00222693">
        <w:rPr>
          <w:rFonts w:ascii="Arial" w:hAnsi="Arial" w:cs="Arial"/>
          <w:sz w:val="24"/>
          <w:szCs w:val="24"/>
        </w:rPr>
        <w:t>£</w:t>
      </w:r>
      <w:r w:rsidRPr="00EA526E">
        <w:rPr>
          <w:rFonts w:ascii="Arial" w:hAnsi="Arial" w:cs="Arial"/>
          <w:sz w:val="24"/>
          <w:szCs w:val="24"/>
        </w:rPr>
        <w:t xml:space="preserve">10billion which could be applied to </w:t>
      </w:r>
      <w:proofErr w:type="gramStart"/>
      <w:r w:rsidRPr="00EA526E">
        <w:rPr>
          <w:rFonts w:ascii="Arial" w:hAnsi="Arial" w:cs="Arial"/>
          <w:sz w:val="24"/>
          <w:szCs w:val="24"/>
        </w:rPr>
        <w:t>clear</w:t>
      </w:r>
      <w:proofErr w:type="gramEnd"/>
      <w:r w:rsidRPr="00EA526E">
        <w:rPr>
          <w:rFonts w:ascii="Arial" w:hAnsi="Arial" w:cs="Arial"/>
          <w:sz w:val="24"/>
          <w:szCs w:val="24"/>
        </w:rPr>
        <w:t xml:space="preserve"> costly debt, strengthen the current assets and carry out strategic investment.</w:t>
      </w:r>
    </w:p>
    <w:p w14:paraId="3F3EE409"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An immediate implementation of the rights issue would help the management to demonstrate that it is interested in long-term stability, thus, appealing to the confidence of investors and credit ratings (EY, 2024). Increasing the equity capital intensifies the financial risk reduction </w:t>
      </w:r>
      <w:proofErr w:type="gramStart"/>
      <w:r w:rsidRPr="00EA526E">
        <w:rPr>
          <w:rFonts w:ascii="Arial" w:hAnsi="Arial" w:cs="Arial"/>
          <w:sz w:val="24"/>
          <w:szCs w:val="24"/>
        </w:rPr>
        <w:t>and also</w:t>
      </w:r>
      <w:proofErr w:type="gramEnd"/>
      <w:r w:rsidRPr="00EA526E">
        <w:rPr>
          <w:rFonts w:ascii="Arial" w:hAnsi="Arial" w:cs="Arial"/>
          <w:sz w:val="24"/>
          <w:szCs w:val="24"/>
        </w:rPr>
        <w:t xml:space="preserve"> decreases the weighted average cost </w:t>
      </w:r>
      <w:r w:rsidRPr="00EA526E">
        <w:rPr>
          <w:rFonts w:ascii="Arial" w:hAnsi="Arial" w:cs="Arial"/>
          <w:sz w:val="24"/>
          <w:szCs w:val="24"/>
        </w:rPr>
        <w:lastRenderedPageBreak/>
        <w:t xml:space="preserve">of capital (WACC) as it is justified by the suggestion of Modigliani and Miller (1963) that optimal capital structure increases the value of the firm through the reduction of the bankruptcy risk. Timing is essential: introduction of the issue should not be made until the preliminary successes of restructuring are registered to save negative market </w:t>
      </w:r>
      <w:proofErr w:type="spellStart"/>
      <w:r w:rsidRPr="00EA526E">
        <w:rPr>
          <w:rFonts w:ascii="Arial" w:hAnsi="Arial" w:cs="Arial"/>
          <w:sz w:val="24"/>
          <w:szCs w:val="24"/>
        </w:rPr>
        <w:t>signalling</w:t>
      </w:r>
      <w:proofErr w:type="spellEnd"/>
      <w:r w:rsidRPr="00EA526E">
        <w:rPr>
          <w:rFonts w:ascii="Arial" w:hAnsi="Arial" w:cs="Arial"/>
          <w:sz w:val="24"/>
          <w:szCs w:val="24"/>
        </w:rPr>
        <w:t xml:space="preserve"> and shares-price dilution.</w:t>
      </w:r>
    </w:p>
    <w:p w14:paraId="6ABEF3DA" w14:textId="77777777" w:rsidR="003B2681" w:rsidRPr="00EA526E" w:rsidRDefault="003B2681" w:rsidP="003B2681">
      <w:pPr>
        <w:spacing w:line="360" w:lineRule="auto"/>
        <w:rPr>
          <w:rFonts w:ascii="Arial" w:hAnsi="Arial" w:cs="Arial"/>
          <w:b/>
          <w:bCs/>
          <w:sz w:val="24"/>
          <w:szCs w:val="24"/>
        </w:rPr>
      </w:pPr>
      <w:r w:rsidRPr="00EA526E">
        <w:rPr>
          <w:rFonts w:ascii="Arial" w:hAnsi="Arial" w:cs="Arial"/>
          <w:b/>
          <w:bCs/>
          <w:sz w:val="24"/>
          <w:szCs w:val="24"/>
        </w:rPr>
        <w:t>c) Asset Divestiture</w:t>
      </w:r>
    </w:p>
    <w:p w14:paraId="3A9DD015" w14:textId="3EE17EE2"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The other fundamental pillar of restructuring is strategic divestiture. The GE divisions, especially the aged appliance production, have been facing declining margins and stiffer competition. The sale of non-core units or units that are not performing well might liberate </w:t>
      </w:r>
      <w:r w:rsidR="00222693">
        <w:rPr>
          <w:rFonts w:ascii="Arial" w:hAnsi="Arial" w:cs="Arial"/>
          <w:sz w:val="24"/>
          <w:szCs w:val="24"/>
        </w:rPr>
        <w:t>£</w:t>
      </w:r>
      <w:r w:rsidRPr="00EA526E">
        <w:rPr>
          <w:rFonts w:ascii="Arial" w:hAnsi="Arial" w:cs="Arial"/>
          <w:sz w:val="24"/>
          <w:szCs w:val="24"/>
        </w:rPr>
        <w:t>15-20 billion of cash, simplify operations, and redeem management attention to the growth areas and directions of smart devices, renewable technologies, and digital integration (McKinsey &amp; Company, 2024).</w:t>
      </w:r>
    </w:p>
    <w:p w14:paraId="53447FF5"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Divestitures normally enhance asset-turnover ratios, return on assets (ROA) and past examples include the strategic transformation of IBM in which focused dispositions released shareholder value (BCG, 2023). GE should make sure that it performs ethically, providing staff with support during the transition and preventing the situation of sudden closure that would harm its social standing.</w:t>
      </w:r>
    </w:p>
    <w:p w14:paraId="05EDBB0A" w14:textId="77777777" w:rsidR="003B2681" w:rsidRPr="00EA526E" w:rsidRDefault="003B2681" w:rsidP="003B2681">
      <w:pPr>
        <w:spacing w:line="360" w:lineRule="auto"/>
        <w:rPr>
          <w:rFonts w:ascii="Arial" w:hAnsi="Arial" w:cs="Arial"/>
          <w:b/>
          <w:bCs/>
          <w:sz w:val="24"/>
          <w:szCs w:val="24"/>
        </w:rPr>
      </w:pPr>
      <w:r w:rsidRPr="00EA526E">
        <w:rPr>
          <w:rFonts w:ascii="Arial" w:hAnsi="Arial" w:cs="Arial"/>
          <w:b/>
          <w:bCs/>
          <w:sz w:val="24"/>
          <w:szCs w:val="24"/>
        </w:rPr>
        <w:t>d) Mergers and Strategic Alliances.</w:t>
      </w:r>
    </w:p>
    <w:p w14:paraId="0C2D2ABB"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In addition to financial realignment, GE needs to embark on strategic partnerships or consolidations </w:t>
      </w:r>
      <w:proofErr w:type="gramStart"/>
      <w:r w:rsidRPr="00EA526E">
        <w:rPr>
          <w:rFonts w:ascii="Arial" w:hAnsi="Arial" w:cs="Arial"/>
          <w:sz w:val="24"/>
          <w:szCs w:val="24"/>
        </w:rPr>
        <w:t>in order to</w:t>
      </w:r>
      <w:proofErr w:type="gramEnd"/>
      <w:r w:rsidRPr="00EA526E">
        <w:rPr>
          <w:rFonts w:ascii="Arial" w:hAnsi="Arial" w:cs="Arial"/>
          <w:sz w:val="24"/>
          <w:szCs w:val="24"/>
        </w:rPr>
        <w:t xml:space="preserve"> increase technological strengths and market coverage. The closer the path is between electronics and software, semiconductor innovation, higher the potential partnerships with technology leaders will allow gaining access to intellectual property, R&amp;D resources and digital ecosystems (KPMG, 2023). Development of the platform through collaboration would save time to market, distribute the risk of development and enhance efficiency in distribution.</w:t>
      </w:r>
    </w:p>
    <w:p w14:paraId="3BCCEEF9" w14:textId="77777777" w:rsidR="003B2681" w:rsidRPr="00EA526E" w:rsidRDefault="003B2681" w:rsidP="003B2681">
      <w:pPr>
        <w:spacing w:line="360" w:lineRule="auto"/>
        <w:rPr>
          <w:rFonts w:ascii="Arial" w:hAnsi="Arial" w:cs="Arial"/>
          <w:sz w:val="24"/>
          <w:szCs w:val="24"/>
        </w:rPr>
      </w:pPr>
      <w:r w:rsidRPr="00EA526E">
        <w:rPr>
          <w:rFonts w:ascii="Arial" w:hAnsi="Arial" w:cs="Arial"/>
          <w:sz w:val="24"/>
          <w:szCs w:val="24"/>
        </w:rPr>
        <w:t xml:space="preserve">The resulting partnerships would assist GE to shift to a platform-based and digital model, which allows it to grow in a scalable and sustainable manner (BCG, 2023). Nevertheless, mergers should be well-coordinated to reduce the creation of cultural faultiness, integration </w:t>
      </w:r>
      <w:proofErr w:type="gramStart"/>
      <w:r w:rsidRPr="00EA526E">
        <w:rPr>
          <w:rFonts w:ascii="Arial" w:hAnsi="Arial" w:cs="Arial"/>
          <w:sz w:val="24"/>
          <w:szCs w:val="24"/>
        </w:rPr>
        <w:t>problem</w:t>
      </w:r>
      <w:proofErr w:type="gramEnd"/>
      <w:r w:rsidRPr="00EA526E">
        <w:rPr>
          <w:rFonts w:ascii="Arial" w:hAnsi="Arial" w:cs="Arial"/>
          <w:sz w:val="24"/>
          <w:szCs w:val="24"/>
        </w:rPr>
        <w:t xml:space="preserve"> and regulatory obstacles.</w:t>
      </w:r>
    </w:p>
    <w:p w14:paraId="3FF89249" w14:textId="77777777" w:rsidR="003B2681" w:rsidRDefault="003B2681" w:rsidP="003B2681">
      <w:pPr>
        <w:spacing w:line="360" w:lineRule="auto"/>
        <w:rPr>
          <w:rFonts w:ascii="Arial" w:hAnsi="Arial" w:cs="Arial"/>
          <w:b/>
          <w:bCs/>
          <w:sz w:val="24"/>
          <w:szCs w:val="24"/>
        </w:rPr>
      </w:pPr>
    </w:p>
    <w:p w14:paraId="3E10CD77" w14:textId="77777777" w:rsidR="003B2681" w:rsidRPr="00102DF7" w:rsidRDefault="003B2681" w:rsidP="003B2681">
      <w:pPr>
        <w:spacing w:line="360" w:lineRule="auto"/>
        <w:rPr>
          <w:rFonts w:ascii="Arial" w:hAnsi="Arial" w:cs="Arial"/>
          <w:b/>
          <w:bCs/>
          <w:sz w:val="24"/>
          <w:szCs w:val="24"/>
        </w:rPr>
      </w:pPr>
      <w:r w:rsidRPr="00102DF7">
        <w:rPr>
          <w:rFonts w:ascii="Arial" w:hAnsi="Arial" w:cs="Arial"/>
          <w:b/>
          <w:bCs/>
          <w:sz w:val="24"/>
          <w:szCs w:val="24"/>
        </w:rPr>
        <w:lastRenderedPageBreak/>
        <w:t>4.3 Considerations in Ethics and the World.</w:t>
      </w:r>
    </w:p>
    <w:p w14:paraId="25A72AFE" w14:textId="77777777" w:rsidR="003B2681" w:rsidRPr="00102DF7" w:rsidRDefault="003B2681" w:rsidP="003B2681">
      <w:pPr>
        <w:spacing w:line="360" w:lineRule="auto"/>
        <w:rPr>
          <w:rFonts w:ascii="Arial" w:hAnsi="Arial" w:cs="Arial"/>
          <w:sz w:val="24"/>
          <w:szCs w:val="24"/>
        </w:rPr>
      </w:pPr>
      <w:proofErr w:type="gramStart"/>
      <w:r w:rsidRPr="00102DF7">
        <w:rPr>
          <w:rFonts w:ascii="Arial" w:hAnsi="Arial" w:cs="Arial"/>
          <w:sz w:val="24"/>
          <w:szCs w:val="24"/>
        </w:rPr>
        <w:t>Restructuring of</w:t>
      </w:r>
      <w:proofErr w:type="gramEnd"/>
      <w:r w:rsidRPr="00102DF7">
        <w:rPr>
          <w:rFonts w:ascii="Arial" w:hAnsi="Arial" w:cs="Arial"/>
          <w:sz w:val="24"/>
          <w:szCs w:val="24"/>
        </w:rPr>
        <w:t xml:space="preserve"> finances should be in line with responsibilities, especially in ethical, social, and environmental matters. Contemporary business recovery culture focuses on transparency, sustainability, and inclusion of stakeholders as principles of legitimacy (Carroll, 2016). Environmentally responsible and stakeholder-</w:t>
      </w:r>
      <w:proofErr w:type="spellStart"/>
      <w:r w:rsidRPr="00102DF7">
        <w:rPr>
          <w:rFonts w:ascii="Arial" w:hAnsi="Arial" w:cs="Arial"/>
          <w:sz w:val="24"/>
          <w:szCs w:val="24"/>
        </w:rPr>
        <w:t>centred</w:t>
      </w:r>
      <w:proofErr w:type="spellEnd"/>
      <w:r w:rsidRPr="00102DF7">
        <w:rPr>
          <w:rFonts w:ascii="Arial" w:hAnsi="Arial" w:cs="Arial"/>
          <w:sz w:val="24"/>
          <w:szCs w:val="24"/>
        </w:rPr>
        <w:t xml:space="preserve"> restructuring is also encouraged by the UN Global Compact (2023).</w:t>
      </w:r>
    </w:p>
    <w:p w14:paraId="1929272B" w14:textId="77777777" w:rsidR="003B2681" w:rsidRPr="00102DF7" w:rsidRDefault="003B2681" w:rsidP="003B2681">
      <w:pPr>
        <w:spacing w:line="360" w:lineRule="auto"/>
        <w:rPr>
          <w:rFonts w:ascii="Arial" w:hAnsi="Arial" w:cs="Arial"/>
          <w:sz w:val="24"/>
          <w:szCs w:val="24"/>
        </w:rPr>
      </w:pPr>
      <w:r w:rsidRPr="00102DF7">
        <w:rPr>
          <w:rFonts w:ascii="Arial" w:hAnsi="Arial" w:cs="Arial"/>
          <w:sz w:val="24"/>
          <w:szCs w:val="24"/>
        </w:rPr>
        <w:t>The priorities of ethics of GE are:</w:t>
      </w:r>
    </w:p>
    <w:p w14:paraId="5AD06EBE" w14:textId="77777777" w:rsidR="003B2681" w:rsidRPr="00102DF7" w:rsidRDefault="003B2681" w:rsidP="003B2681">
      <w:pPr>
        <w:pStyle w:val="ListParagraph"/>
        <w:numPr>
          <w:ilvl w:val="0"/>
          <w:numId w:val="22"/>
        </w:numPr>
        <w:spacing w:line="360" w:lineRule="auto"/>
        <w:rPr>
          <w:rFonts w:ascii="Arial" w:hAnsi="Arial" w:cs="Arial"/>
          <w:sz w:val="24"/>
          <w:szCs w:val="24"/>
        </w:rPr>
      </w:pPr>
      <w:r w:rsidRPr="00102DF7">
        <w:rPr>
          <w:rFonts w:ascii="Arial" w:hAnsi="Arial" w:cs="Arial"/>
          <w:sz w:val="24"/>
          <w:szCs w:val="24"/>
        </w:rPr>
        <w:t>Employee Retention and Reskilling: The workforce downsizing would be detrimental to employee morale and reputation. To maintain social responsibility and institutional knowledge, reskilling and redeployment should be a priority in GE.</w:t>
      </w:r>
    </w:p>
    <w:p w14:paraId="09354BDD" w14:textId="77777777" w:rsidR="003B2681" w:rsidRPr="00102DF7" w:rsidRDefault="003B2681" w:rsidP="003B2681">
      <w:pPr>
        <w:pStyle w:val="ListParagraph"/>
        <w:numPr>
          <w:ilvl w:val="0"/>
          <w:numId w:val="22"/>
        </w:numPr>
        <w:spacing w:line="360" w:lineRule="auto"/>
        <w:rPr>
          <w:rFonts w:ascii="Arial" w:hAnsi="Arial" w:cs="Arial"/>
          <w:sz w:val="24"/>
          <w:szCs w:val="24"/>
        </w:rPr>
      </w:pPr>
      <w:r w:rsidRPr="00102DF7">
        <w:rPr>
          <w:rFonts w:ascii="Arial" w:hAnsi="Arial" w:cs="Arial"/>
          <w:sz w:val="24"/>
          <w:szCs w:val="24"/>
        </w:rPr>
        <w:t xml:space="preserve">Responsible Tax Conduct: In </w:t>
      </w:r>
      <w:proofErr w:type="spellStart"/>
      <w:r w:rsidRPr="00102DF7">
        <w:rPr>
          <w:rFonts w:ascii="Arial" w:hAnsi="Arial" w:cs="Arial"/>
          <w:sz w:val="24"/>
          <w:szCs w:val="24"/>
        </w:rPr>
        <w:t>recapitalisation</w:t>
      </w:r>
      <w:proofErr w:type="spellEnd"/>
      <w:r w:rsidRPr="00102DF7">
        <w:rPr>
          <w:rFonts w:ascii="Arial" w:hAnsi="Arial" w:cs="Arial"/>
          <w:sz w:val="24"/>
          <w:szCs w:val="24"/>
        </w:rPr>
        <w:t xml:space="preserve">, GE </w:t>
      </w:r>
      <w:proofErr w:type="gramStart"/>
      <w:r w:rsidRPr="00102DF7">
        <w:rPr>
          <w:rFonts w:ascii="Arial" w:hAnsi="Arial" w:cs="Arial"/>
          <w:sz w:val="24"/>
          <w:szCs w:val="24"/>
        </w:rPr>
        <w:t>has to</w:t>
      </w:r>
      <w:proofErr w:type="gramEnd"/>
      <w:r w:rsidRPr="00102DF7">
        <w:rPr>
          <w:rFonts w:ascii="Arial" w:hAnsi="Arial" w:cs="Arial"/>
          <w:sz w:val="24"/>
          <w:szCs w:val="24"/>
        </w:rPr>
        <w:t xml:space="preserve"> be cautious on tax practices but rather have transparency in reporting according to the OECD (2023) principles to ensure </w:t>
      </w:r>
      <w:proofErr w:type="gramStart"/>
      <w:r w:rsidRPr="00102DF7">
        <w:rPr>
          <w:rFonts w:ascii="Arial" w:hAnsi="Arial" w:cs="Arial"/>
          <w:sz w:val="24"/>
          <w:szCs w:val="24"/>
        </w:rPr>
        <w:t>the regulatory</w:t>
      </w:r>
      <w:proofErr w:type="gramEnd"/>
      <w:r w:rsidRPr="00102DF7">
        <w:rPr>
          <w:rFonts w:ascii="Arial" w:hAnsi="Arial" w:cs="Arial"/>
          <w:sz w:val="24"/>
          <w:szCs w:val="24"/>
        </w:rPr>
        <w:t xml:space="preserve"> trust.</w:t>
      </w:r>
    </w:p>
    <w:p w14:paraId="5CAC12C8" w14:textId="77777777" w:rsidR="003B2681" w:rsidRPr="00102DF7" w:rsidRDefault="003B2681" w:rsidP="003B2681">
      <w:pPr>
        <w:pStyle w:val="ListParagraph"/>
        <w:numPr>
          <w:ilvl w:val="0"/>
          <w:numId w:val="22"/>
        </w:numPr>
        <w:spacing w:line="360" w:lineRule="auto"/>
        <w:rPr>
          <w:rFonts w:ascii="Arial" w:hAnsi="Arial" w:cs="Arial"/>
          <w:sz w:val="24"/>
          <w:szCs w:val="24"/>
        </w:rPr>
      </w:pPr>
      <w:r w:rsidRPr="00102DF7">
        <w:rPr>
          <w:rFonts w:ascii="Arial" w:hAnsi="Arial" w:cs="Arial"/>
          <w:sz w:val="24"/>
          <w:szCs w:val="24"/>
        </w:rPr>
        <w:t xml:space="preserve">Currency and Inflation Hedging: GE being a global company is exposed to high FX and inflation. Forwards and swaps are examples of derivatives that allow </w:t>
      </w:r>
      <w:proofErr w:type="spellStart"/>
      <w:r w:rsidRPr="00102DF7">
        <w:rPr>
          <w:rFonts w:ascii="Arial" w:hAnsi="Arial" w:cs="Arial"/>
          <w:sz w:val="24"/>
          <w:szCs w:val="24"/>
        </w:rPr>
        <w:t>stabilising</w:t>
      </w:r>
      <w:proofErr w:type="spellEnd"/>
      <w:r w:rsidRPr="00102DF7">
        <w:rPr>
          <w:rFonts w:ascii="Arial" w:hAnsi="Arial" w:cs="Arial"/>
          <w:sz w:val="24"/>
          <w:szCs w:val="24"/>
        </w:rPr>
        <w:t xml:space="preserve"> cash flows and safeguarding liquidity (World Bank, 2024).</w:t>
      </w:r>
    </w:p>
    <w:p w14:paraId="50597705" w14:textId="77777777" w:rsidR="003B2681" w:rsidRPr="00102DF7" w:rsidRDefault="003B2681" w:rsidP="003B2681">
      <w:pPr>
        <w:pStyle w:val="ListParagraph"/>
        <w:numPr>
          <w:ilvl w:val="0"/>
          <w:numId w:val="22"/>
        </w:numPr>
        <w:spacing w:line="360" w:lineRule="auto"/>
        <w:rPr>
          <w:rFonts w:ascii="Arial" w:hAnsi="Arial" w:cs="Arial"/>
          <w:sz w:val="24"/>
          <w:szCs w:val="24"/>
        </w:rPr>
      </w:pPr>
      <w:r w:rsidRPr="00102DF7">
        <w:rPr>
          <w:rFonts w:ascii="Arial" w:hAnsi="Arial" w:cs="Arial"/>
          <w:sz w:val="24"/>
          <w:szCs w:val="24"/>
        </w:rPr>
        <w:t>ESG-Aligned Investment: Reinvestment should be aimed at energy-efficient technologies, ethical sourcing, and sustainable supply chains, which will increase its resistance to long-term and endear itself to ESG-oriented institutional investors (PwC, 2024).</w:t>
      </w:r>
    </w:p>
    <w:p w14:paraId="1337D808" w14:textId="77777777" w:rsidR="003B2681" w:rsidRPr="00102DF7" w:rsidRDefault="003B2681" w:rsidP="003B2681">
      <w:pPr>
        <w:spacing w:line="360" w:lineRule="auto"/>
        <w:rPr>
          <w:rFonts w:ascii="Arial" w:hAnsi="Arial" w:cs="Arial"/>
          <w:sz w:val="24"/>
          <w:szCs w:val="24"/>
        </w:rPr>
      </w:pPr>
      <w:r w:rsidRPr="00102DF7">
        <w:rPr>
          <w:rFonts w:ascii="Arial" w:hAnsi="Arial" w:cs="Arial"/>
          <w:sz w:val="24"/>
          <w:szCs w:val="24"/>
        </w:rPr>
        <w:t>The restructuring of ethics thus protects image, reinforces the trust of stakeholders, and brings GE in line with international sustainability demands.</w:t>
      </w:r>
    </w:p>
    <w:p w14:paraId="60675CE2" w14:textId="77777777" w:rsidR="003B2681" w:rsidRPr="00102DF7" w:rsidRDefault="003B2681" w:rsidP="003B2681">
      <w:pPr>
        <w:spacing w:line="360" w:lineRule="auto"/>
        <w:rPr>
          <w:rFonts w:ascii="Arial" w:hAnsi="Arial" w:cs="Arial"/>
          <w:b/>
          <w:bCs/>
          <w:sz w:val="24"/>
          <w:szCs w:val="24"/>
        </w:rPr>
      </w:pPr>
      <w:r w:rsidRPr="00102DF7">
        <w:rPr>
          <w:rFonts w:ascii="Arial" w:hAnsi="Arial" w:cs="Arial"/>
          <w:b/>
          <w:bCs/>
          <w:sz w:val="24"/>
          <w:szCs w:val="24"/>
        </w:rPr>
        <w:t>4.4 Shareholder Value Impact</w:t>
      </w:r>
    </w:p>
    <w:p w14:paraId="786329DB" w14:textId="77777777" w:rsidR="003B2681" w:rsidRPr="00102DF7" w:rsidRDefault="003B2681" w:rsidP="003B2681">
      <w:pPr>
        <w:spacing w:line="360" w:lineRule="auto"/>
        <w:rPr>
          <w:rFonts w:ascii="Arial" w:hAnsi="Arial" w:cs="Arial"/>
          <w:sz w:val="24"/>
          <w:szCs w:val="24"/>
        </w:rPr>
      </w:pPr>
      <w:r w:rsidRPr="00102DF7">
        <w:rPr>
          <w:rFonts w:ascii="Arial" w:hAnsi="Arial" w:cs="Arial"/>
          <w:sz w:val="24"/>
          <w:szCs w:val="24"/>
        </w:rPr>
        <w:t>Though temporary disruptions might be experienced during the restructuring, it will increase long-term shareholder value by increasing solvency, decreasing risk, and increasing strategic flexibility. Modigliani-Miller (1963) model states that optimal leverage lowers the WACC and enhances the firm value in the case of controlled bankruptcy risk (Brigham and Ehrhardt, 2022).</w:t>
      </w:r>
    </w:p>
    <w:p w14:paraId="0F49BC02" w14:textId="77777777" w:rsidR="003B2681" w:rsidRPr="00102DF7" w:rsidRDefault="003B2681" w:rsidP="003B2681">
      <w:pPr>
        <w:spacing w:line="360" w:lineRule="auto"/>
        <w:rPr>
          <w:rFonts w:ascii="Arial" w:hAnsi="Arial" w:cs="Arial"/>
          <w:sz w:val="24"/>
          <w:szCs w:val="24"/>
        </w:rPr>
      </w:pPr>
      <w:r w:rsidRPr="00102DF7">
        <w:rPr>
          <w:rFonts w:ascii="Arial" w:hAnsi="Arial" w:cs="Arial"/>
          <w:sz w:val="24"/>
          <w:szCs w:val="24"/>
        </w:rPr>
        <w:t xml:space="preserve">According to the suggested scheme, the transition of GE to more equity-based structure brings down pressure on debt-service and financial distress. This will </w:t>
      </w:r>
      <w:r w:rsidRPr="00102DF7">
        <w:rPr>
          <w:rFonts w:ascii="Arial" w:hAnsi="Arial" w:cs="Arial"/>
          <w:sz w:val="24"/>
          <w:szCs w:val="24"/>
        </w:rPr>
        <w:lastRenderedPageBreak/>
        <w:t xml:space="preserve">reduce WACC expected to be approximately 11.2 to 9.6. EPS can decline in the short-term because of dilution, </w:t>
      </w:r>
      <w:proofErr w:type="gramStart"/>
      <w:r w:rsidRPr="00102DF7">
        <w:rPr>
          <w:rFonts w:ascii="Arial" w:hAnsi="Arial" w:cs="Arial"/>
          <w:sz w:val="24"/>
          <w:szCs w:val="24"/>
        </w:rPr>
        <w:t>although,</w:t>
      </w:r>
      <w:proofErr w:type="gramEnd"/>
      <w:r w:rsidRPr="00102DF7">
        <w:rPr>
          <w:rFonts w:ascii="Arial" w:hAnsi="Arial" w:cs="Arial"/>
          <w:sz w:val="24"/>
          <w:szCs w:val="24"/>
        </w:rPr>
        <w:t xml:space="preserve"> better profitability and lower risk will lead to the recovery of long-run valuation.</w:t>
      </w:r>
    </w:p>
    <w:p w14:paraId="1ABE5F89" w14:textId="77777777" w:rsidR="003B2681" w:rsidRPr="00102DF7" w:rsidRDefault="003B2681" w:rsidP="003B2681">
      <w:pPr>
        <w:spacing w:line="360" w:lineRule="auto"/>
        <w:rPr>
          <w:rFonts w:ascii="Arial" w:hAnsi="Arial" w:cs="Arial"/>
          <w:sz w:val="24"/>
          <w:szCs w:val="24"/>
        </w:rPr>
      </w:pPr>
      <w:r w:rsidRPr="00102DF7">
        <w:rPr>
          <w:rFonts w:ascii="Arial" w:hAnsi="Arial" w:cs="Arial"/>
          <w:sz w:val="24"/>
          <w:szCs w:val="24"/>
        </w:rPr>
        <w:t>It has been found out that positively abnormal stock returns are frequently caused by well-</w:t>
      </w:r>
      <w:proofErr w:type="spellStart"/>
      <w:r w:rsidRPr="00102DF7">
        <w:rPr>
          <w:rFonts w:ascii="Arial" w:hAnsi="Arial" w:cs="Arial"/>
          <w:sz w:val="24"/>
          <w:szCs w:val="24"/>
        </w:rPr>
        <w:t>signalled</w:t>
      </w:r>
      <w:proofErr w:type="spellEnd"/>
      <w:r w:rsidRPr="00102DF7">
        <w:rPr>
          <w:rFonts w:ascii="Arial" w:hAnsi="Arial" w:cs="Arial"/>
          <w:sz w:val="24"/>
          <w:szCs w:val="24"/>
        </w:rPr>
        <w:t xml:space="preserve"> restructuring plans, which strengthen investor confidence (FT, 2024). Open communication will hence become very essential. Greater access to global capital markets and facilitation of growth-oriented investment will also occur as will increased solvency, whereas alliances and divestitures will make operations easier and margins more consistent. Within a period of three years, GE was able to attain an ROE of more than 8% and a debt ratio of less than 0.9.</w:t>
      </w:r>
    </w:p>
    <w:p w14:paraId="1463D733" w14:textId="77777777" w:rsidR="003B2681" w:rsidRPr="00102DF7" w:rsidRDefault="003B2681" w:rsidP="003B2681">
      <w:pPr>
        <w:spacing w:line="360" w:lineRule="auto"/>
        <w:rPr>
          <w:rFonts w:ascii="Arial" w:hAnsi="Arial" w:cs="Arial"/>
          <w:b/>
          <w:bCs/>
          <w:sz w:val="24"/>
          <w:szCs w:val="24"/>
        </w:rPr>
      </w:pPr>
    </w:p>
    <w:p w14:paraId="55437D7E" w14:textId="77777777" w:rsidR="003B2681" w:rsidRPr="00102DF7" w:rsidRDefault="003B2681" w:rsidP="003B2681">
      <w:pPr>
        <w:spacing w:line="360" w:lineRule="auto"/>
        <w:rPr>
          <w:rFonts w:ascii="Arial" w:hAnsi="Arial" w:cs="Arial"/>
          <w:b/>
          <w:bCs/>
          <w:sz w:val="24"/>
          <w:szCs w:val="24"/>
        </w:rPr>
      </w:pPr>
      <w:r w:rsidRPr="00102DF7">
        <w:rPr>
          <w:rFonts w:ascii="Arial" w:hAnsi="Arial" w:cs="Arial"/>
          <w:b/>
          <w:bCs/>
          <w:sz w:val="24"/>
          <w:szCs w:val="24"/>
        </w:rPr>
        <w:t>4.5 Implementation Roadmap</w:t>
      </w:r>
    </w:p>
    <w:p w14:paraId="71EDB163" w14:textId="77777777" w:rsidR="000F62B6" w:rsidRDefault="003B2681" w:rsidP="003B2681">
      <w:pPr>
        <w:spacing w:line="360" w:lineRule="auto"/>
        <w:rPr>
          <w:rFonts w:ascii="Arial" w:hAnsi="Arial" w:cs="Arial"/>
          <w:sz w:val="24"/>
          <w:szCs w:val="24"/>
        </w:rPr>
      </w:pPr>
      <w:r w:rsidRPr="00102DF7">
        <w:rPr>
          <w:rFonts w:ascii="Arial" w:hAnsi="Arial" w:cs="Arial"/>
          <w:sz w:val="24"/>
          <w:szCs w:val="24"/>
        </w:rPr>
        <w:t xml:space="preserve">The </w:t>
      </w:r>
      <w:proofErr w:type="spellStart"/>
      <w:r w:rsidRPr="00102DF7">
        <w:rPr>
          <w:rFonts w:ascii="Arial" w:hAnsi="Arial" w:cs="Arial"/>
          <w:sz w:val="24"/>
          <w:szCs w:val="24"/>
        </w:rPr>
        <w:t>turn around</w:t>
      </w:r>
      <w:proofErr w:type="spellEnd"/>
      <w:r w:rsidRPr="00102DF7">
        <w:rPr>
          <w:rFonts w:ascii="Arial" w:hAnsi="Arial" w:cs="Arial"/>
          <w:sz w:val="24"/>
          <w:szCs w:val="24"/>
        </w:rPr>
        <w:t xml:space="preserve"> of GE will involve three stages: </w:t>
      </w:r>
      <w:proofErr w:type="spellStart"/>
      <w:r w:rsidRPr="00102DF7">
        <w:rPr>
          <w:rFonts w:ascii="Arial" w:hAnsi="Arial" w:cs="Arial"/>
          <w:sz w:val="24"/>
          <w:szCs w:val="24"/>
        </w:rPr>
        <w:t>stabilisation</w:t>
      </w:r>
      <w:proofErr w:type="spellEnd"/>
      <w:r w:rsidRPr="00102DF7">
        <w:rPr>
          <w:rFonts w:ascii="Arial" w:hAnsi="Arial" w:cs="Arial"/>
          <w:sz w:val="24"/>
          <w:szCs w:val="24"/>
        </w:rPr>
        <w:t xml:space="preserve"> (liquidity reinforcement and restructuring short-term debt), </w:t>
      </w:r>
      <w:proofErr w:type="spellStart"/>
      <w:r w:rsidRPr="00102DF7">
        <w:rPr>
          <w:rFonts w:ascii="Arial" w:hAnsi="Arial" w:cs="Arial"/>
          <w:sz w:val="24"/>
          <w:szCs w:val="24"/>
        </w:rPr>
        <w:t>optimisation</w:t>
      </w:r>
      <w:proofErr w:type="spellEnd"/>
      <w:r w:rsidRPr="00102DF7">
        <w:rPr>
          <w:rFonts w:ascii="Arial" w:hAnsi="Arial" w:cs="Arial"/>
          <w:sz w:val="24"/>
          <w:szCs w:val="24"/>
        </w:rPr>
        <w:t xml:space="preserve"> (working-capital and asset-efficiency), and strategic investment. Given </w:t>
      </w:r>
      <w:r w:rsidR="00222693">
        <w:rPr>
          <w:rFonts w:ascii="Arial" w:hAnsi="Arial" w:cs="Arial"/>
          <w:sz w:val="24"/>
          <w:szCs w:val="24"/>
        </w:rPr>
        <w:t>£</w:t>
      </w:r>
      <w:r w:rsidRPr="00102DF7">
        <w:rPr>
          <w:rFonts w:ascii="Arial" w:hAnsi="Arial" w:cs="Arial"/>
          <w:sz w:val="24"/>
          <w:szCs w:val="24"/>
        </w:rPr>
        <w:t xml:space="preserve">60m of funds, the best balance of value, liquidity and risk diversification is achieved by allocating </w:t>
      </w:r>
      <w:r w:rsidR="00222693">
        <w:rPr>
          <w:rFonts w:ascii="Arial" w:hAnsi="Arial" w:cs="Arial"/>
          <w:sz w:val="24"/>
          <w:szCs w:val="24"/>
        </w:rPr>
        <w:t>£</w:t>
      </w:r>
      <w:r w:rsidRPr="00102DF7">
        <w:rPr>
          <w:rFonts w:ascii="Arial" w:hAnsi="Arial" w:cs="Arial"/>
          <w:sz w:val="24"/>
          <w:szCs w:val="24"/>
        </w:rPr>
        <w:t xml:space="preserve">40m to Project A and </w:t>
      </w:r>
      <w:r w:rsidR="00222693">
        <w:rPr>
          <w:rFonts w:ascii="Arial" w:hAnsi="Arial" w:cs="Arial"/>
          <w:sz w:val="24"/>
          <w:szCs w:val="24"/>
        </w:rPr>
        <w:t>£</w:t>
      </w:r>
      <w:r w:rsidRPr="00102DF7">
        <w:rPr>
          <w:rFonts w:ascii="Arial" w:hAnsi="Arial" w:cs="Arial"/>
          <w:sz w:val="24"/>
          <w:szCs w:val="24"/>
        </w:rPr>
        <w:t>20m to an upsized Project B.</w:t>
      </w:r>
    </w:p>
    <w:p w14:paraId="19322CEF" w14:textId="60F6AA3C" w:rsidR="003B2681" w:rsidRPr="000F62B6" w:rsidRDefault="003B2681" w:rsidP="003B2681">
      <w:pPr>
        <w:spacing w:line="360" w:lineRule="auto"/>
        <w:rPr>
          <w:rFonts w:ascii="Arial" w:hAnsi="Arial" w:cs="Arial"/>
          <w:b/>
          <w:bCs/>
          <w:sz w:val="24"/>
          <w:szCs w:val="24"/>
        </w:rPr>
      </w:pPr>
      <w:r w:rsidRPr="000F62B6">
        <w:rPr>
          <w:rFonts w:ascii="Arial" w:hAnsi="Arial" w:cs="Arial"/>
          <w:b/>
          <w:bCs/>
          <w:sz w:val="24"/>
          <w:szCs w:val="24"/>
        </w:rPr>
        <w:t>5.0 Investment Appraisal Analysis</w:t>
      </w:r>
    </w:p>
    <w:p w14:paraId="34F27E5A" w14:textId="77777777" w:rsidR="003B2681" w:rsidRDefault="003B2681" w:rsidP="003B2681">
      <w:pPr>
        <w:spacing w:line="360" w:lineRule="auto"/>
        <w:rPr>
          <w:rFonts w:ascii="Arial" w:hAnsi="Arial" w:cs="Arial"/>
          <w:sz w:val="24"/>
          <w:szCs w:val="24"/>
        </w:rPr>
      </w:pPr>
      <w:r w:rsidRPr="00314F5C">
        <w:rPr>
          <w:rFonts w:ascii="Arial" w:hAnsi="Arial" w:cs="Arial"/>
          <w:sz w:val="24"/>
          <w:szCs w:val="24"/>
        </w:rPr>
        <w:t>In this section, Projects A, B and C are assessed based on four major methods of capital budgeting:</w:t>
      </w:r>
    </w:p>
    <w:p w14:paraId="55E61F02" w14:textId="77777777" w:rsidR="003B2681" w:rsidRPr="000A1E8E" w:rsidRDefault="003B2681" w:rsidP="003B2681">
      <w:pPr>
        <w:numPr>
          <w:ilvl w:val="0"/>
          <w:numId w:val="6"/>
        </w:numPr>
        <w:spacing w:line="360" w:lineRule="auto"/>
        <w:rPr>
          <w:rFonts w:ascii="Arial" w:hAnsi="Arial" w:cs="Arial"/>
          <w:sz w:val="24"/>
          <w:szCs w:val="24"/>
        </w:rPr>
      </w:pPr>
      <w:r w:rsidRPr="000A1E8E">
        <w:rPr>
          <w:rFonts w:ascii="Arial" w:hAnsi="Arial" w:cs="Arial"/>
          <w:sz w:val="24"/>
          <w:szCs w:val="24"/>
        </w:rPr>
        <w:t>Accounting Rate of Return (ARR)</w:t>
      </w:r>
    </w:p>
    <w:p w14:paraId="7840612C" w14:textId="77777777" w:rsidR="003B2681" w:rsidRPr="000A1E8E" w:rsidRDefault="003B2681" w:rsidP="003B2681">
      <w:pPr>
        <w:numPr>
          <w:ilvl w:val="0"/>
          <w:numId w:val="6"/>
        </w:numPr>
        <w:spacing w:line="360" w:lineRule="auto"/>
        <w:rPr>
          <w:rFonts w:ascii="Arial" w:hAnsi="Arial" w:cs="Arial"/>
          <w:sz w:val="24"/>
          <w:szCs w:val="24"/>
        </w:rPr>
      </w:pPr>
      <w:r w:rsidRPr="000A1E8E">
        <w:rPr>
          <w:rFonts w:ascii="Arial" w:hAnsi="Arial" w:cs="Arial"/>
          <w:sz w:val="24"/>
          <w:szCs w:val="24"/>
        </w:rPr>
        <w:t>Net Present Value (NPV)</w:t>
      </w:r>
    </w:p>
    <w:p w14:paraId="58DCBFD5" w14:textId="77777777" w:rsidR="003B2681" w:rsidRPr="000A1E8E" w:rsidRDefault="003B2681" w:rsidP="003B2681">
      <w:pPr>
        <w:numPr>
          <w:ilvl w:val="0"/>
          <w:numId w:val="6"/>
        </w:numPr>
        <w:spacing w:line="360" w:lineRule="auto"/>
        <w:rPr>
          <w:rFonts w:ascii="Arial" w:hAnsi="Arial" w:cs="Arial"/>
          <w:sz w:val="24"/>
          <w:szCs w:val="24"/>
        </w:rPr>
      </w:pPr>
      <w:r w:rsidRPr="000A1E8E">
        <w:rPr>
          <w:rFonts w:ascii="Arial" w:hAnsi="Arial" w:cs="Arial"/>
          <w:sz w:val="24"/>
          <w:szCs w:val="24"/>
        </w:rPr>
        <w:t>Internal Rate of Return (IRR)</w:t>
      </w:r>
    </w:p>
    <w:p w14:paraId="27B8291E" w14:textId="77777777" w:rsidR="003B2681" w:rsidRPr="000A1E8E" w:rsidRDefault="003B2681" w:rsidP="003B2681">
      <w:pPr>
        <w:numPr>
          <w:ilvl w:val="0"/>
          <w:numId w:val="6"/>
        </w:numPr>
        <w:spacing w:line="360" w:lineRule="auto"/>
        <w:rPr>
          <w:rFonts w:ascii="Arial" w:hAnsi="Arial" w:cs="Arial"/>
          <w:sz w:val="24"/>
          <w:szCs w:val="24"/>
        </w:rPr>
      </w:pPr>
      <w:r w:rsidRPr="000A1E8E">
        <w:rPr>
          <w:rFonts w:ascii="Arial" w:hAnsi="Arial" w:cs="Arial"/>
          <w:sz w:val="24"/>
          <w:szCs w:val="24"/>
        </w:rPr>
        <w:t>Profitability Index (PI)</w:t>
      </w:r>
    </w:p>
    <w:p w14:paraId="5F0E3C76" w14:textId="5FDA0266" w:rsidR="003B2681" w:rsidRDefault="003B2681" w:rsidP="003B2681">
      <w:pPr>
        <w:spacing w:line="360" w:lineRule="auto"/>
        <w:rPr>
          <w:rFonts w:ascii="Arial" w:hAnsi="Arial" w:cs="Arial"/>
          <w:sz w:val="24"/>
          <w:szCs w:val="24"/>
        </w:rPr>
      </w:pPr>
      <w:r w:rsidRPr="00314F5C">
        <w:rPr>
          <w:rFonts w:ascii="Arial" w:hAnsi="Arial" w:cs="Arial"/>
          <w:sz w:val="24"/>
          <w:szCs w:val="24"/>
        </w:rPr>
        <w:t xml:space="preserve">There is a capital rationing limit of </w:t>
      </w:r>
      <w:r w:rsidR="00222693">
        <w:rPr>
          <w:rFonts w:ascii="Arial" w:hAnsi="Arial" w:cs="Arial"/>
          <w:sz w:val="24"/>
          <w:szCs w:val="24"/>
        </w:rPr>
        <w:t>£</w:t>
      </w:r>
      <w:r w:rsidRPr="00314F5C">
        <w:rPr>
          <w:rFonts w:ascii="Arial" w:hAnsi="Arial" w:cs="Arial"/>
          <w:sz w:val="24"/>
          <w:szCs w:val="24"/>
        </w:rPr>
        <w:t xml:space="preserve">60 million which </w:t>
      </w:r>
      <w:proofErr w:type="gramStart"/>
      <w:r w:rsidRPr="00314F5C">
        <w:rPr>
          <w:rFonts w:ascii="Arial" w:hAnsi="Arial" w:cs="Arial"/>
          <w:sz w:val="24"/>
          <w:szCs w:val="24"/>
        </w:rPr>
        <w:t>implies</w:t>
      </w:r>
      <w:proofErr w:type="gramEnd"/>
      <w:r w:rsidRPr="00314F5C">
        <w:rPr>
          <w:rFonts w:ascii="Arial" w:hAnsi="Arial" w:cs="Arial"/>
          <w:sz w:val="24"/>
          <w:szCs w:val="24"/>
        </w:rPr>
        <w:t xml:space="preserve"> that the company </w:t>
      </w:r>
      <w:proofErr w:type="gramStart"/>
      <w:r w:rsidRPr="00314F5C">
        <w:rPr>
          <w:rFonts w:ascii="Arial" w:hAnsi="Arial" w:cs="Arial"/>
          <w:sz w:val="24"/>
          <w:szCs w:val="24"/>
        </w:rPr>
        <w:t>is not able to</w:t>
      </w:r>
      <w:proofErr w:type="gramEnd"/>
      <w:r w:rsidRPr="00314F5C">
        <w:rPr>
          <w:rFonts w:ascii="Arial" w:hAnsi="Arial" w:cs="Arial"/>
          <w:sz w:val="24"/>
          <w:szCs w:val="24"/>
        </w:rPr>
        <w:t xml:space="preserve"> invest in all projects even though they may be profitable.</w:t>
      </w:r>
    </w:p>
    <w:p w14:paraId="109DA446" w14:textId="77777777" w:rsidR="000F62B6" w:rsidRDefault="000F62B6" w:rsidP="003B2681">
      <w:pPr>
        <w:spacing w:line="360" w:lineRule="auto"/>
        <w:rPr>
          <w:rFonts w:ascii="Arial" w:hAnsi="Arial" w:cs="Arial"/>
          <w:sz w:val="24"/>
          <w:szCs w:val="24"/>
        </w:rPr>
      </w:pPr>
    </w:p>
    <w:p w14:paraId="2D706BA3" w14:textId="77777777" w:rsidR="000F62B6" w:rsidRDefault="000F62B6" w:rsidP="003B2681">
      <w:pPr>
        <w:spacing w:line="360" w:lineRule="auto"/>
        <w:rPr>
          <w:rFonts w:ascii="Arial" w:hAnsi="Arial" w:cs="Arial"/>
          <w:sz w:val="24"/>
          <w:szCs w:val="24"/>
        </w:rPr>
      </w:pPr>
    </w:p>
    <w:p w14:paraId="40326F88" w14:textId="0AB3C3EF" w:rsidR="003B2681" w:rsidRPr="000A1E8E" w:rsidRDefault="003B2681" w:rsidP="003B2681">
      <w:pPr>
        <w:spacing w:line="360" w:lineRule="auto"/>
        <w:rPr>
          <w:rFonts w:ascii="Arial" w:hAnsi="Arial" w:cs="Arial"/>
          <w:sz w:val="24"/>
          <w:szCs w:val="24"/>
        </w:rPr>
      </w:pPr>
      <w:r w:rsidRPr="00314F5C">
        <w:rPr>
          <w:rFonts w:ascii="Arial" w:hAnsi="Arial" w:cs="Arial"/>
          <w:sz w:val="24"/>
          <w:szCs w:val="24"/>
        </w:rPr>
        <w:lastRenderedPageBreak/>
        <w:t>The initial investments and cash inflows as projected in the case are as under:</w:t>
      </w:r>
    </w:p>
    <w:tbl>
      <w:tblPr>
        <w:tblStyle w:val="TableGrid"/>
        <w:tblW w:w="0" w:type="auto"/>
        <w:tblLook w:val="04A0" w:firstRow="1" w:lastRow="0" w:firstColumn="1" w:lastColumn="0" w:noHBand="0" w:noVBand="1"/>
      </w:tblPr>
      <w:tblGrid>
        <w:gridCol w:w="1030"/>
        <w:gridCol w:w="2017"/>
        <w:gridCol w:w="937"/>
        <w:gridCol w:w="937"/>
        <w:gridCol w:w="937"/>
        <w:gridCol w:w="937"/>
        <w:gridCol w:w="937"/>
      </w:tblGrid>
      <w:tr w:rsidR="003B2681" w:rsidRPr="000A1E8E" w14:paraId="35011DE1" w14:textId="77777777" w:rsidTr="008608DC">
        <w:tc>
          <w:tcPr>
            <w:tcW w:w="0" w:type="auto"/>
            <w:hideMark/>
          </w:tcPr>
          <w:p w14:paraId="69ED8720"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Project</w:t>
            </w:r>
          </w:p>
        </w:tc>
        <w:tc>
          <w:tcPr>
            <w:tcW w:w="0" w:type="auto"/>
            <w:hideMark/>
          </w:tcPr>
          <w:p w14:paraId="5865C4D8"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Initial Cost (£m)</w:t>
            </w:r>
          </w:p>
        </w:tc>
        <w:tc>
          <w:tcPr>
            <w:tcW w:w="0" w:type="auto"/>
            <w:hideMark/>
          </w:tcPr>
          <w:p w14:paraId="533D73BA"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 1</w:t>
            </w:r>
          </w:p>
        </w:tc>
        <w:tc>
          <w:tcPr>
            <w:tcW w:w="0" w:type="auto"/>
            <w:hideMark/>
          </w:tcPr>
          <w:p w14:paraId="778D7791"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 2</w:t>
            </w:r>
          </w:p>
        </w:tc>
        <w:tc>
          <w:tcPr>
            <w:tcW w:w="0" w:type="auto"/>
            <w:hideMark/>
          </w:tcPr>
          <w:p w14:paraId="0930DD15"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 3</w:t>
            </w:r>
          </w:p>
        </w:tc>
        <w:tc>
          <w:tcPr>
            <w:tcW w:w="0" w:type="auto"/>
            <w:hideMark/>
          </w:tcPr>
          <w:p w14:paraId="329E1538"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 4</w:t>
            </w:r>
          </w:p>
        </w:tc>
        <w:tc>
          <w:tcPr>
            <w:tcW w:w="0" w:type="auto"/>
            <w:hideMark/>
          </w:tcPr>
          <w:p w14:paraId="75A0CDB9"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 5</w:t>
            </w:r>
          </w:p>
        </w:tc>
      </w:tr>
      <w:tr w:rsidR="003B2681" w:rsidRPr="000A1E8E" w14:paraId="4217A026" w14:textId="77777777" w:rsidTr="008608DC">
        <w:tc>
          <w:tcPr>
            <w:tcW w:w="0" w:type="auto"/>
            <w:hideMark/>
          </w:tcPr>
          <w:p w14:paraId="06E41B55"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A</w:t>
            </w:r>
          </w:p>
        </w:tc>
        <w:tc>
          <w:tcPr>
            <w:tcW w:w="0" w:type="auto"/>
            <w:hideMark/>
          </w:tcPr>
          <w:p w14:paraId="77F93024"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40</w:t>
            </w:r>
          </w:p>
        </w:tc>
        <w:tc>
          <w:tcPr>
            <w:tcW w:w="0" w:type="auto"/>
            <w:hideMark/>
          </w:tcPr>
          <w:p w14:paraId="2DB8D1FC"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15</w:t>
            </w:r>
          </w:p>
        </w:tc>
        <w:tc>
          <w:tcPr>
            <w:tcW w:w="0" w:type="auto"/>
            <w:hideMark/>
          </w:tcPr>
          <w:p w14:paraId="265C8298"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12</w:t>
            </w:r>
          </w:p>
        </w:tc>
        <w:tc>
          <w:tcPr>
            <w:tcW w:w="0" w:type="auto"/>
            <w:hideMark/>
          </w:tcPr>
          <w:p w14:paraId="460AD716"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10</w:t>
            </w:r>
          </w:p>
        </w:tc>
        <w:tc>
          <w:tcPr>
            <w:tcW w:w="0" w:type="auto"/>
            <w:hideMark/>
          </w:tcPr>
          <w:p w14:paraId="28EA46FA"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8</w:t>
            </w:r>
          </w:p>
        </w:tc>
        <w:tc>
          <w:tcPr>
            <w:tcW w:w="0" w:type="auto"/>
            <w:hideMark/>
          </w:tcPr>
          <w:p w14:paraId="3EB1B272"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6</w:t>
            </w:r>
          </w:p>
        </w:tc>
      </w:tr>
      <w:tr w:rsidR="003B2681" w:rsidRPr="000A1E8E" w14:paraId="502C93B4" w14:textId="77777777" w:rsidTr="008608DC">
        <w:tc>
          <w:tcPr>
            <w:tcW w:w="0" w:type="auto"/>
            <w:hideMark/>
          </w:tcPr>
          <w:p w14:paraId="1F679864"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B</w:t>
            </w:r>
          </w:p>
        </w:tc>
        <w:tc>
          <w:tcPr>
            <w:tcW w:w="0" w:type="auto"/>
            <w:hideMark/>
          </w:tcPr>
          <w:p w14:paraId="644DEBD9"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30</w:t>
            </w:r>
          </w:p>
        </w:tc>
        <w:tc>
          <w:tcPr>
            <w:tcW w:w="0" w:type="auto"/>
            <w:hideMark/>
          </w:tcPr>
          <w:p w14:paraId="1C5DD487"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10</w:t>
            </w:r>
          </w:p>
        </w:tc>
        <w:tc>
          <w:tcPr>
            <w:tcW w:w="0" w:type="auto"/>
            <w:hideMark/>
          </w:tcPr>
          <w:p w14:paraId="56AEF9B6"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8</w:t>
            </w:r>
          </w:p>
        </w:tc>
        <w:tc>
          <w:tcPr>
            <w:tcW w:w="0" w:type="auto"/>
            <w:hideMark/>
          </w:tcPr>
          <w:p w14:paraId="11AE9D93"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7</w:t>
            </w:r>
          </w:p>
        </w:tc>
        <w:tc>
          <w:tcPr>
            <w:tcW w:w="0" w:type="auto"/>
            <w:hideMark/>
          </w:tcPr>
          <w:p w14:paraId="72DFDDCD"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5</w:t>
            </w:r>
          </w:p>
        </w:tc>
        <w:tc>
          <w:tcPr>
            <w:tcW w:w="0" w:type="auto"/>
            <w:hideMark/>
          </w:tcPr>
          <w:p w14:paraId="114CF3AB"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4</w:t>
            </w:r>
          </w:p>
        </w:tc>
      </w:tr>
      <w:tr w:rsidR="003B2681" w:rsidRPr="000A1E8E" w14:paraId="01578140" w14:textId="77777777" w:rsidTr="008608DC">
        <w:tc>
          <w:tcPr>
            <w:tcW w:w="0" w:type="auto"/>
            <w:hideMark/>
          </w:tcPr>
          <w:p w14:paraId="592B3D27"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C</w:t>
            </w:r>
          </w:p>
        </w:tc>
        <w:tc>
          <w:tcPr>
            <w:tcW w:w="0" w:type="auto"/>
            <w:hideMark/>
          </w:tcPr>
          <w:p w14:paraId="6AD5D60F"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50</w:t>
            </w:r>
          </w:p>
        </w:tc>
        <w:tc>
          <w:tcPr>
            <w:tcW w:w="0" w:type="auto"/>
            <w:hideMark/>
          </w:tcPr>
          <w:p w14:paraId="2881F5F0"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22</w:t>
            </w:r>
          </w:p>
        </w:tc>
        <w:tc>
          <w:tcPr>
            <w:tcW w:w="0" w:type="auto"/>
            <w:hideMark/>
          </w:tcPr>
          <w:p w14:paraId="1CC4AEAA"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18</w:t>
            </w:r>
          </w:p>
        </w:tc>
        <w:tc>
          <w:tcPr>
            <w:tcW w:w="0" w:type="auto"/>
            <w:hideMark/>
          </w:tcPr>
          <w:p w14:paraId="406D6542"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12</w:t>
            </w:r>
          </w:p>
        </w:tc>
        <w:tc>
          <w:tcPr>
            <w:tcW w:w="0" w:type="auto"/>
            <w:hideMark/>
          </w:tcPr>
          <w:p w14:paraId="3FD262FA"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9</w:t>
            </w:r>
          </w:p>
        </w:tc>
        <w:tc>
          <w:tcPr>
            <w:tcW w:w="0" w:type="auto"/>
            <w:hideMark/>
          </w:tcPr>
          <w:p w14:paraId="052BEE09" w14:textId="77777777" w:rsidR="003B2681" w:rsidRPr="000A1E8E" w:rsidRDefault="003B2681" w:rsidP="008608DC">
            <w:pPr>
              <w:spacing w:after="160" w:line="360" w:lineRule="auto"/>
              <w:rPr>
                <w:rFonts w:ascii="Arial" w:hAnsi="Arial" w:cs="Arial"/>
                <w:sz w:val="24"/>
                <w:szCs w:val="24"/>
              </w:rPr>
            </w:pPr>
            <w:r w:rsidRPr="000A1E8E">
              <w:rPr>
                <w:rFonts w:ascii="Arial" w:hAnsi="Arial" w:cs="Arial"/>
                <w:sz w:val="24"/>
                <w:szCs w:val="24"/>
              </w:rPr>
              <w:t>8</w:t>
            </w:r>
          </w:p>
        </w:tc>
      </w:tr>
    </w:tbl>
    <w:p w14:paraId="15062DA6" w14:textId="77777777" w:rsidR="003B2681" w:rsidRDefault="003B2681" w:rsidP="003B2681">
      <w:pPr>
        <w:spacing w:line="360" w:lineRule="auto"/>
        <w:rPr>
          <w:rFonts w:ascii="Arial" w:hAnsi="Arial" w:cs="Arial"/>
          <w:sz w:val="24"/>
          <w:szCs w:val="24"/>
        </w:rPr>
      </w:pPr>
    </w:p>
    <w:p w14:paraId="2911F207" w14:textId="77777777" w:rsidR="003B2681" w:rsidRDefault="003B2681" w:rsidP="003B2681">
      <w:pPr>
        <w:spacing w:line="360" w:lineRule="auto"/>
        <w:rPr>
          <w:rFonts w:ascii="Arial" w:hAnsi="Arial" w:cs="Arial"/>
          <w:sz w:val="24"/>
          <w:szCs w:val="24"/>
        </w:rPr>
      </w:pPr>
      <w:r w:rsidRPr="00314F5C">
        <w:rPr>
          <w:rFonts w:ascii="Arial" w:hAnsi="Arial" w:cs="Arial"/>
          <w:sz w:val="24"/>
          <w:szCs w:val="24"/>
        </w:rPr>
        <w:t>Discount rate at which it is being evaluated (WACC): 10%</w:t>
      </w:r>
    </w:p>
    <w:p w14:paraId="307EC8C7" w14:textId="77777777" w:rsidR="003B2681" w:rsidRPr="00EF3D11" w:rsidRDefault="003B2681" w:rsidP="003B2681">
      <w:pPr>
        <w:spacing w:line="360" w:lineRule="auto"/>
        <w:rPr>
          <w:rFonts w:ascii="Arial" w:hAnsi="Arial" w:cs="Arial"/>
          <w:b/>
          <w:bCs/>
          <w:sz w:val="24"/>
          <w:szCs w:val="24"/>
        </w:rPr>
      </w:pPr>
      <w:r w:rsidRPr="000A1E8E">
        <w:rPr>
          <w:rFonts w:ascii="Arial" w:hAnsi="Arial" w:cs="Arial"/>
          <w:sz w:val="24"/>
          <w:szCs w:val="24"/>
        </w:rPr>
        <w:t xml:space="preserve">Depreciation method: </w:t>
      </w:r>
      <w:r w:rsidRPr="000A1E8E">
        <w:rPr>
          <w:rFonts w:ascii="Arial" w:hAnsi="Arial" w:cs="Arial"/>
          <w:b/>
          <w:bCs/>
          <w:sz w:val="24"/>
          <w:szCs w:val="24"/>
        </w:rPr>
        <w:t>Straight-line over 5 years</w:t>
      </w:r>
      <w:r w:rsidRPr="00EF3D11">
        <w:rPr>
          <w:rFonts w:ascii="Arial" w:hAnsi="Arial" w:cs="Arial"/>
          <w:b/>
          <w:bCs/>
          <w:sz w:val="24"/>
          <w:szCs w:val="24"/>
        </w:rPr>
        <w:t xml:space="preserve"> </w:t>
      </w:r>
    </w:p>
    <w:p w14:paraId="0AE94E67"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5.1 Capital Structure Context</w:t>
      </w:r>
    </w:p>
    <w:p w14:paraId="337187EB" w14:textId="77777777" w:rsidR="003B2681" w:rsidRDefault="003B2681" w:rsidP="003B2681">
      <w:pPr>
        <w:spacing w:line="360" w:lineRule="auto"/>
        <w:rPr>
          <w:rFonts w:ascii="Arial" w:hAnsi="Arial" w:cs="Arial"/>
          <w:sz w:val="24"/>
          <w:szCs w:val="24"/>
        </w:rPr>
      </w:pPr>
      <w:r w:rsidRPr="00115D9B">
        <w:rPr>
          <w:rFonts w:ascii="Arial" w:hAnsi="Arial" w:cs="Arial"/>
          <w:sz w:val="24"/>
          <w:szCs w:val="24"/>
        </w:rPr>
        <w:t xml:space="preserve">Modigliani and Miller (1963) argue that the value of a firm can be improved with the help of financial leverage provided that the cost of bankruptcy, market imperfection and agency problems are under control. This offers </w:t>
      </w:r>
      <w:proofErr w:type="gramStart"/>
      <w:r w:rsidRPr="00115D9B">
        <w:rPr>
          <w:rFonts w:ascii="Arial" w:hAnsi="Arial" w:cs="Arial"/>
          <w:sz w:val="24"/>
          <w:szCs w:val="24"/>
        </w:rPr>
        <w:t>the theoretical</w:t>
      </w:r>
      <w:proofErr w:type="gramEnd"/>
      <w:r w:rsidRPr="00115D9B">
        <w:rPr>
          <w:rFonts w:ascii="Arial" w:hAnsi="Arial" w:cs="Arial"/>
          <w:sz w:val="24"/>
          <w:szCs w:val="24"/>
        </w:rPr>
        <w:t xml:space="preserve"> support to GE using a uniform discount rate (10 percent) in its investment appraisal because it has a weighted average cost of capital (WACC) with an assumption of efficient markets.</w:t>
      </w:r>
    </w:p>
    <w:p w14:paraId="257810EF"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5.2 Accounting Rate of Return (ARR)</w:t>
      </w:r>
    </w:p>
    <w:p w14:paraId="0A2E78C2" w14:textId="77777777" w:rsidR="003B2681" w:rsidRPr="000A1E8E" w:rsidRDefault="003B2681" w:rsidP="003B2681">
      <w:pPr>
        <w:spacing w:line="360" w:lineRule="auto"/>
        <w:rPr>
          <w:rFonts w:ascii="Arial" w:hAnsi="Arial" w:cs="Arial"/>
          <w:sz w:val="24"/>
          <w:szCs w:val="24"/>
        </w:rPr>
      </w:pPr>
      <w:r w:rsidRPr="00115D9B">
        <w:rPr>
          <w:rFonts w:ascii="Arial" w:hAnsi="Arial" w:cs="Arial"/>
          <w:sz w:val="24"/>
          <w:szCs w:val="24"/>
        </w:rPr>
        <w:t>ARR compares the accounting (not cash-flow) data of the average profitability of a project to its initial investment. Though it is not as theoretically sound as the discounted cash flow techniques it is still popular as a performance evaluation tool.</w:t>
      </w:r>
    </w:p>
    <w:p w14:paraId="33DB50BB"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Step 1: Calculate Annual Depreciation (Straight-Line)</w:t>
      </w:r>
    </w:p>
    <w:p w14:paraId="7FB4D223" w14:textId="77777777" w:rsidR="003B2681" w:rsidRPr="000A1E8E" w:rsidRDefault="003B2681" w:rsidP="003B2681">
      <w:pPr>
        <w:spacing w:line="360" w:lineRule="auto"/>
        <w:rPr>
          <w:rFonts w:ascii="Arial" w:hAnsi="Arial" w:cs="Arial"/>
          <w:sz w:val="24"/>
          <w:szCs w:val="24"/>
        </w:rPr>
      </w:pPr>
      <m:oMathPara>
        <m:oMath>
          <m:r>
            <m:rPr>
              <m:nor/>
            </m:rPr>
            <w:rPr>
              <w:rFonts w:ascii="Arial" w:hAnsi="Arial" w:cs="Arial"/>
              <w:sz w:val="24"/>
              <w:szCs w:val="24"/>
            </w:rPr>
            <m:t>Depreciation</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Initial Investment</m:t>
              </m:r>
            </m:num>
            <m:den>
              <m:r>
                <w:rPr>
                  <w:rFonts w:ascii="Cambria Math" w:hAnsi="Cambria Math" w:cs="Arial"/>
                  <w:sz w:val="24"/>
                  <w:szCs w:val="24"/>
                </w:rPr>
                <m:t>5</m:t>
              </m:r>
            </m:den>
          </m:f>
          <m:r>
            <m:rPr>
              <m:sty m:val="p"/>
            </m:rPr>
            <w:rPr>
              <w:rFonts w:ascii="Cambria Math" w:hAnsi="Cambria Math" w:cs="Arial"/>
              <w:sz w:val="24"/>
              <w:szCs w:val="24"/>
            </w:rPr>
            <w:br/>
          </m:r>
        </m:oMath>
      </m:oMathPara>
    </w:p>
    <w:p w14:paraId="56EE73C0" w14:textId="77777777" w:rsidR="003B2681" w:rsidRPr="000A1E8E" w:rsidRDefault="003B2681" w:rsidP="003B2681">
      <w:pPr>
        <w:numPr>
          <w:ilvl w:val="0"/>
          <w:numId w:val="7"/>
        </w:numPr>
        <w:spacing w:line="360" w:lineRule="auto"/>
        <w:rPr>
          <w:rFonts w:ascii="Arial" w:hAnsi="Arial" w:cs="Arial"/>
          <w:sz w:val="24"/>
          <w:szCs w:val="24"/>
        </w:rPr>
      </w:pPr>
      <w:r w:rsidRPr="000A1E8E">
        <w:rPr>
          <w:rFonts w:ascii="Arial" w:hAnsi="Arial" w:cs="Arial"/>
          <w:b/>
          <w:bCs/>
          <w:sz w:val="24"/>
          <w:szCs w:val="24"/>
        </w:rPr>
        <w:t>A:</w:t>
      </w:r>
      <w:r w:rsidRPr="000A1E8E">
        <w:rPr>
          <w:rFonts w:ascii="Arial" w:hAnsi="Arial" w:cs="Arial"/>
          <w:sz w:val="24"/>
          <w:szCs w:val="24"/>
        </w:rPr>
        <w:t xml:space="preserve"> £40m ÷ 5 = </w:t>
      </w:r>
      <w:r w:rsidRPr="000A1E8E">
        <w:rPr>
          <w:rFonts w:ascii="Arial" w:hAnsi="Arial" w:cs="Arial"/>
          <w:b/>
          <w:bCs/>
          <w:sz w:val="24"/>
          <w:szCs w:val="24"/>
        </w:rPr>
        <w:t>£8m per year</w:t>
      </w:r>
    </w:p>
    <w:p w14:paraId="14DB65B1" w14:textId="77777777" w:rsidR="003B2681" w:rsidRPr="000A1E8E" w:rsidRDefault="003B2681" w:rsidP="003B2681">
      <w:pPr>
        <w:numPr>
          <w:ilvl w:val="0"/>
          <w:numId w:val="7"/>
        </w:numPr>
        <w:spacing w:line="360" w:lineRule="auto"/>
        <w:rPr>
          <w:rFonts w:ascii="Arial" w:hAnsi="Arial" w:cs="Arial"/>
          <w:sz w:val="24"/>
          <w:szCs w:val="24"/>
        </w:rPr>
      </w:pPr>
      <w:r w:rsidRPr="000A1E8E">
        <w:rPr>
          <w:rFonts w:ascii="Arial" w:hAnsi="Arial" w:cs="Arial"/>
          <w:b/>
          <w:bCs/>
          <w:sz w:val="24"/>
          <w:szCs w:val="24"/>
        </w:rPr>
        <w:t>B:</w:t>
      </w:r>
      <w:r w:rsidRPr="000A1E8E">
        <w:rPr>
          <w:rFonts w:ascii="Arial" w:hAnsi="Arial" w:cs="Arial"/>
          <w:sz w:val="24"/>
          <w:szCs w:val="24"/>
        </w:rPr>
        <w:t xml:space="preserve"> £30m ÷ 5 = </w:t>
      </w:r>
      <w:r w:rsidRPr="000A1E8E">
        <w:rPr>
          <w:rFonts w:ascii="Arial" w:hAnsi="Arial" w:cs="Arial"/>
          <w:b/>
          <w:bCs/>
          <w:sz w:val="24"/>
          <w:szCs w:val="24"/>
        </w:rPr>
        <w:t>£6m per year</w:t>
      </w:r>
    </w:p>
    <w:p w14:paraId="3FD90214" w14:textId="77777777" w:rsidR="003B2681" w:rsidRPr="000A1E8E" w:rsidRDefault="003B2681" w:rsidP="003B2681">
      <w:pPr>
        <w:numPr>
          <w:ilvl w:val="0"/>
          <w:numId w:val="7"/>
        </w:numPr>
        <w:spacing w:line="360" w:lineRule="auto"/>
        <w:rPr>
          <w:rFonts w:ascii="Arial" w:hAnsi="Arial" w:cs="Arial"/>
          <w:sz w:val="24"/>
          <w:szCs w:val="24"/>
        </w:rPr>
      </w:pPr>
      <w:r w:rsidRPr="000A1E8E">
        <w:rPr>
          <w:rFonts w:ascii="Arial" w:hAnsi="Arial" w:cs="Arial"/>
          <w:b/>
          <w:bCs/>
          <w:sz w:val="24"/>
          <w:szCs w:val="24"/>
        </w:rPr>
        <w:t>C:</w:t>
      </w:r>
      <w:r w:rsidRPr="000A1E8E">
        <w:rPr>
          <w:rFonts w:ascii="Arial" w:hAnsi="Arial" w:cs="Arial"/>
          <w:sz w:val="24"/>
          <w:szCs w:val="24"/>
        </w:rPr>
        <w:t xml:space="preserve"> £50m ÷ 5 = </w:t>
      </w:r>
      <w:r w:rsidRPr="000A1E8E">
        <w:rPr>
          <w:rFonts w:ascii="Arial" w:hAnsi="Arial" w:cs="Arial"/>
          <w:b/>
          <w:bCs/>
          <w:sz w:val="24"/>
          <w:szCs w:val="24"/>
        </w:rPr>
        <w:t>£10m per year</w:t>
      </w:r>
    </w:p>
    <w:p w14:paraId="03319DC0" w14:textId="77777777" w:rsidR="003B2681" w:rsidRPr="000A1E8E" w:rsidRDefault="003B2681" w:rsidP="003B2681">
      <w:pPr>
        <w:spacing w:line="360" w:lineRule="auto"/>
        <w:rPr>
          <w:rFonts w:ascii="Arial" w:hAnsi="Arial" w:cs="Arial"/>
          <w:sz w:val="24"/>
          <w:szCs w:val="24"/>
        </w:rPr>
      </w:pPr>
    </w:p>
    <w:p w14:paraId="217D721E"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Step 2: Calculate Average Annual Cash Inflow</w:t>
      </w:r>
    </w:p>
    <w:p w14:paraId="648FB88C" w14:textId="77777777" w:rsidR="003B2681" w:rsidRPr="000A1E8E" w:rsidRDefault="003B2681" w:rsidP="003B2681">
      <w:pPr>
        <w:spacing w:line="360" w:lineRule="auto"/>
        <w:rPr>
          <w:rFonts w:ascii="Arial" w:hAnsi="Arial" w:cs="Arial"/>
          <w:sz w:val="24"/>
          <w:szCs w:val="24"/>
        </w:rPr>
      </w:pPr>
      <m:oMathPara>
        <m:oMath>
          <m:r>
            <m:rPr>
              <m:nor/>
            </m:rPr>
            <w:rPr>
              <w:rFonts w:ascii="Arial" w:hAnsi="Arial" w:cs="Arial"/>
              <w:sz w:val="24"/>
              <w:szCs w:val="24"/>
            </w:rPr>
            <w:lastRenderedPageBreak/>
            <m:t>Average Cash Inflow</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m:t>
              </m:r>
              <m:r>
                <m:rPr>
                  <m:nor/>
                </m:rPr>
                <w:rPr>
                  <w:rFonts w:ascii="Arial" w:hAnsi="Arial" w:cs="Arial"/>
                  <w:sz w:val="24"/>
                  <w:szCs w:val="24"/>
                </w:rPr>
                <m:t>Cash Inflows</m:t>
              </m:r>
            </m:num>
            <m:den>
              <m:r>
                <w:rPr>
                  <w:rFonts w:ascii="Cambria Math" w:hAnsi="Cambria Math" w:cs="Arial"/>
                  <w:sz w:val="24"/>
                  <w:szCs w:val="24"/>
                </w:rPr>
                <m:t>5</m:t>
              </m:r>
            </m:den>
          </m:f>
          <m:r>
            <m:rPr>
              <m:sty m:val="p"/>
            </m:rPr>
            <w:rPr>
              <w:rFonts w:ascii="Cambria Math" w:hAnsi="Cambria Math" w:cs="Arial"/>
              <w:sz w:val="24"/>
              <w:szCs w:val="24"/>
            </w:rPr>
            <w:br/>
          </m:r>
        </m:oMath>
      </m:oMathPara>
    </w:p>
    <w:p w14:paraId="78A7C6EC"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A</w:t>
      </w:r>
    </w:p>
    <w:p w14:paraId="5787336F" w14:textId="77777777" w:rsidR="003B2681" w:rsidRPr="000A1E8E" w:rsidRDefault="003B2681" w:rsidP="003B2681">
      <w:pPr>
        <w:spacing w:line="360" w:lineRule="auto"/>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15+12+10+8+6</m:t>
              </m:r>
            </m:num>
            <m:den>
              <m:r>
                <w:rPr>
                  <w:rFonts w:ascii="Cambria Math" w:hAnsi="Cambria Math" w:cs="Arial"/>
                  <w:sz w:val="24"/>
                  <w:szCs w:val="24"/>
                </w:rPr>
                <m:t>5</m:t>
              </m:r>
            </m:den>
          </m:f>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51</m:t>
              </m:r>
            </m:num>
            <m:den>
              <m:r>
                <w:rPr>
                  <w:rFonts w:ascii="Cambria Math" w:hAnsi="Cambria Math" w:cs="Arial"/>
                  <w:sz w:val="24"/>
                  <w:szCs w:val="24"/>
                </w:rPr>
                <m:t>5</m:t>
              </m:r>
            </m:den>
          </m:f>
          <m:r>
            <w:rPr>
              <w:rFonts w:ascii="Cambria Math" w:hAnsi="Cambria Math" w:cs="Arial"/>
              <w:sz w:val="24"/>
              <w:szCs w:val="24"/>
            </w:rPr>
            <m:t>=10.2m</m:t>
          </m:r>
          <m:r>
            <w:rPr>
              <w:rFonts w:ascii="Cambria Math" w:hAnsi="Cambria Math" w:cs="Arial"/>
              <w:sz w:val="24"/>
              <w:szCs w:val="24"/>
            </w:rPr>
            <w:br/>
          </m:r>
        </m:oMath>
      </m:oMathPara>
    </w:p>
    <w:p w14:paraId="78CD1225"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B</w:t>
      </w:r>
    </w:p>
    <w:p w14:paraId="6E3E1A10" w14:textId="77777777" w:rsidR="003B2681" w:rsidRPr="000A1E8E" w:rsidRDefault="003B2681" w:rsidP="003B2681">
      <w:pPr>
        <w:spacing w:line="360" w:lineRule="auto"/>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10+8+7+5+4</m:t>
              </m:r>
            </m:num>
            <m:den>
              <m:r>
                <w:rPr>
                  <w:rFonts w:ascii="Cambria Math" w:hAnsi="Cambria Math" w:cs="Arial"/>
                  <w:sz w:val="24"/>
                  <w:szCs w:val="24"/>
                </w:rPr>
                <m:t>5</m:t>
              </m:r>
            </m:den>
          </m:f>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34</m:t>
              </m:r>
            </m:num>
            <m:den>
              <m:r>
                <w:rPr>
                  <w:rFonts w:ascii="Cambria Math" w:hAnsi="Cambria Math" w:cs="Arial"/>
                  <w:sz w:val="24"/>
                  <w:szCs w:val="24"/>
                </w:rPr>
                <m:t>5</m:t>
              </m:r>
            </m:den>
          </m:f>
          <m:r>
            <w:rPr>
              <w:rFonts w:ascii="Cambria Math" w:hAnsi="Cambria Math" w:cs="Arial"/>
              <w:sz w:val="24"/>
              <w:szCs w:val="24"/>
            </w:rPr>
            <m:t>=6.8m</m:t>
          </m:r>
          <m:r>
            <w:rPr>
              <w:rFonts w:ascii="Cambria Math" w:hAnsi="Cambria Math" w:cs="Arial"/>
              <w:sz w:val="24"/>
              <w:szCs w:val="24"/>
            </w:rPr>
            <w:br/>
          </m:r>
        </m:oMath>
      </m:oMathPara>
    </w:p>
    <w:p w14:paraId="5F7AC522"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C</w:t>
      </w:r>
    </w:p>
    <w:p w14:paraId="03E983CB" w14:textId="77777777" w:rsidR="003B2681" w:rsidRPr="000A1E8E" w:rsidRDefault="003B2681" w:rsidP="003B2681">
      <w:pPr>
        <w:spacing w:line="360" w:lineRule="auto"/>
        <w:rPr>
          <w:rFonts w:ascii="Arial" w:hAnsi="Arial" w:cs="Arial"/>
          <w:sz w:val="24"/>
          <w:szCs w:val="24"/>
        </w:rPr>
      </w:pPr>
      <m:oMathPara>
        <m:oMath>
          <m:f>
            <m:fPr>
              <m:ctrlPr>
                <w:rPr>
                  <w:rFonts w:ascii="Cambria Math" w:hAnsi="Cambria Math" w:cs="Arial"/>
                  <w:sz w:val="24"/>
                  <w:szCs w:val="24"/>
                </w:rPr>
              </m:ctrlPr>
            </m:fPr>
            <m:num>
              <m:r>
                <w:rPr>
                  <w:rFonts w:ascii="Cambria Math" w:hAnsi="Cambria Math" w:cs="Arial"/>
                  <w:sz w:val="24"/>
                  <w:szCs w:val="24"/>
                </w:rPr>
                <m:t>22+18+12+9+8</m:t>
              </m:r>
            </m:num>
            <m:den>
              <m:r>
                <w:rPr>
                  <w:rFonts w:ascii="Cambria Math" w:hAnsi="Cambria Math" w:cs="Arial"/>
                  <w:sz w:val="24"/>
                  <w:szCs w:val="24"/>
                </w:rPr>
                <m:t>5</m:t>
              </m:r>
            </m:den>
          </m:f>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69</m:t>
              </m:r>
            </m:num>
            <m:den>
              <m:r>
                <w:rPr>
                  <w:rFonts w:ascii="Cambria Math" w:hAnsi="Cambria Math" w:cs="Arial"/>
                  <w:sz w:val="24"/>
                  <w:szCs w:val="24"/>
                </w:rPr>
                <m:t>5</m:t>
              </m:r>
            </m:den>
          </m:f>
          <m:r>
            <w:rPr>
              <w:rFonts w:ascii="Cambria Math" w:hAnsi="Cambria Math" w:cs="Arial"/>
              <w:sz w:val="24"/>
              <w:szCs w:val="24"/>
            </w:rPr>
            <m:t>=13.8m</m:t>
          </m:r>
          <m:r>
            <w:rPr>
              <w:rFonts w:ascii="Cambria Math" w:hAnsi="Cambria Math" w:cs="Arial"/>
              <w:sz w:val="24"/>
              <w:szCs w:val="24"/>
            </w:rPr>
            <w:br/>
          </m:r>
        </m:oMath>
      </m:oMathPara>
    </w:p>
    <w:p w14:paraId="3071BF70" w14:textId="77777777" w:rsidR="003B2681" w:rsidRPr="000A1E8E" w:rsidRDefault="003B2681" w:rsidP="003B2681">
      <w:pPr>
        <w:spacing w:line="360" w:lineRule="auto"/>
        <w:rPr>
          <w:rFonts w:ascii="Arial" w:hAnsi="Arial" w:cs="Arial"/>
          <w:sz w:val="24"/>
          <w:szCs w:val="24"/>
        </w:rPr>
      </w:pPr>
    </w:p>
    <w:p w14:paraId="16CA0A7A"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Step 3: Accounting Profit</w:t>
      </w:r>
    </w:p>
    <w:p w14:paraId="6000952D" w14:textId="77777777" w:rsidR="003B2681" w:rsidRPr="000A1E8E" w:rsidRDefault="003B2681" w:rsidP="003B2681">
      <w:pPr>
        <w:spacing w:line="360" w:lineRule="auto"/>
        <w:rPr>
          <w:rFonts w:ascii="Arial" w:hAnsi="Arial" w:cs="Arial"/>
          <w:sz w:val="24"/>
          <w:szCs w:val="24"/>
        </w:rPr>
      </w:pPr>
      <m:oMathPara>
        <m:oMath>
          <m:r>
            <m:rPr>
              <m:nor/>
            </m:rPr>
            <w:rPr>
              <w:rFonts w:ascii="Arial" w:hAnsi="Arial" w:cs="Arial"/>
              <w:sz w:val="24"/>
              <w:szCs w:val="24"/>
            </w:rPr>
            <m:t>Accounting Profit</m:t>
          </m:r>
          <m:r>
            <w:rPr>
              <w:rFonts w:ascii="Cambria Math" w:hAnsi="Cambria Math" w:cs="Arial"/>
              <w:sz w:val="24"/>
              <w:szCs w:val="24"/>
            </w:rPr>
            <m:t>=</m:t>
          </m:r>
          <m:r>
            <m:rPr>
              <m:nor/>
            </m:rPr>
            <w:rPr>
              <w:rFonts w:ascii="Arial" w:hAnsi="Arial" w:cs="Arial"/>
              <w:sz w:val="24"/>
              <w:szCs w:val="24"/>
            </w:rPr>
            <m:t>Average Cash Inflow</m:t>
          </m:r>
          <m:r>
            <w:rPr>
              <w:rFonts w:ascii="Cambria Math" w:hAnsi="Cambria Math" w:cs="Arial"/>
              <w:sz w:val="24"/>
              <w:szCs w:val="24"/>
            </w:rPr>
            <m:t>-</m:t>
          </m:r>
          <m:r>
            <m:rPr>
              <m:nor/>
            </m:rPr>
            <w:rPr>
              <w:rFonts w:ascii="Arial" w:hAnsi="Arial" w:cs="Arial"/>
              <w:sz w:val="24"/>
              <w:szCs w:val="24"/>
            </w:rPr>
            <m:t>Depreciation</m:t>
          </m:r>
          <m:r>
            <m:rPr>
              <m:sty m:val="p"/>
            </m:rPr>
            <w:rPr>
              <w:rFonts w:ascii="Cambria Math" w:hAnsi="Cambria Math" w:cs="Arial"/>
              <w:sz w:val="24"/>
              <w:szCs w:val="24"/>
            </w:rPr>
            <w:br/>
          </m:r>
        </m:oMath>
      </m:oMathPara>
    </w:p>
    <w:p w14:paraId="1167DBA8" w14:textId="77777777" w:rsidR="003B2681" w:rsidRPr="000A1E8E" w:rsidRDefault="003B2681" w:rsidP="003B2681">
      <w:pPr>
        <w:numPr>
          <w:ilvl w:val="0"/>
          <w:numId w:val="8"/>
        </w:numPr>
        <w:spacing w:line="360" w:lineRule="auto"/>
        <w:rPr>
          <w:rFonts w:ascii="Arial" w:hAnsi="Arial" w:cs="Arial"/>
          <w:sz w:val="24"/>
          <w:szCs w:val="24"/>
        </w:rPr>
      </w:pPr>
      <w:r w:rsidRPr="000A1E8E">
        <w:rPr>
          <w:rFonts w:ascii="Arial" w:hAnsi="Arial" w:cs="Arial"/>
          <w:b/>
          <w:bCs/>
          <w:sz w:val="24"/>
          <w:szCs w:val="24"/>
        </w:rPr>
        <w:t>A:</w:t>
      </w:r>
      <w:r w:rsidRPr="000A1E8E">
        <w:rPr>
          <w:rFonts w:ascii="Arial" w:hAnsi="Arial" w:cs="Arial"/>
          <w:sz w:val="24"/>
          <w:szCs w:val="24"/>
        </w:rPr>
        <w:t xml:space="preserve"> 10.2 – 8 = </w:t>
      </w:r>
      <w:r w:rsidRPr="000A1E8E">
        <w:rPr>
          <w:rFonts w:ascii="Arial" w:hAnsi="Arial" w:cs="Arial"/>
          <w:b/>
          <w:bCs/>
          <w:sz w:val="24"/>
          <w:szCs w:val="24"/>
        </w:rPr>
        <w:t>2.2m</w:t>
      </w:r>
    </w:p>
    <w:p w14:paraId="58627C9E" w14:textId="77777777" w:rsidR="003B2681" w:rsidRPr="000A1E8E" w:rsidRDefault="003B2681" w:rsidP="003B2681">
      <w:pPr>
        <w:numPr>
          <w:ilvl w:val="0"/>
          <w:numId w:val="8"/>
        </w:numPr>
        <w:spacing w:line="360" w:lineRule="auto"/>
        <w:rPr>
          <w:rFonts w:ascii="Arial" w:hAnsi="Arial" w:cs="Arial"/>
          <w:sz w:val="24"/>
          <w:szCs w:val="24"/>
        </w:rPr>
      </w:pPr>
      <w:r w:rsidRPr="000A1E8E">
        <w:rPr>
          <w:rFonts w:ascii="Arial" w:hAnsi="Arial" w:cs="Arial"/>
          <w:b/>
          <w:bCs/>
          <w:sz w:val="24"/>
          <w:szCs w:val="24"/>
        </w:rPr>
        <w:t>B:</w:t>
      </w:r>
      <w:r w:rsidRPr="000A1E8E">
        <w:rPr>
          <w:rFonts w:ascii="Arial" w:hAnsi="Arial" w:cs="Arial"/>
          <w:sz w:val="24"/>
          <w:szCs w:val="24"/>
        </w:rPr>
        <w:t xml:space="preserve"> 6.8 – 6 = </w:t>
      </w:r>
      <w:r w:rsidRPr="000A1E8E">
        <w:rPr>
          <w:rFonts w:ascii="Arial" w:hAnsi="Arial" w:cs="Arial"/>
          <w:b/>
          <w:bCs/>
          <w:sz w:val="24"/>
          <w:szCs w:val="24"/>
        </w:rPr>
        <w:t>0.8m</w:t>
      </w:r>
    </w:p>
    <w:p w14:paraId="5553A944" w14:textId="77777777" w:rsidR="003B2681" w:rsidRPr="000A1E8E" w:rsidRDefault="003B2681" w:rsidP="003B2681">
      <w:pPr>
        <w:numPr>
          <w:ilvl w:val="0"/>
          <w:numId w:val="8"/>
        </w:numPr>
        <w:spacing w:line="360" w:lineRule="auto"/>
        <w:rPr>
          <w:rFonts w:ascii="Arial" w:hAnsi="Arial" w:cs="Arial"/>
          <w:sz w:val="24"/>
          <w:szCs w:val="24"/>
        </w:rPr>
      </w:pPr>
      <w:r w:rsidRPr="000A1E8E">
        <w:rPr>
          <w:rFonts w:ascii="Arial" w:hAnsi="Arial" w:cs="Arial"/>
          <w:b/>
          <w:bCs/>
          <w:sz w:val="24"/>
          <w:szCs w:val="24"/>
        </w:rPr>
        <w:t>C:</w:t>
      </w:r>
      <w:r w:rsidRPr="000A1E8E">
        <w:rPr>
          <w:rFonts w:ascii="Arial" w:hAnsi="Arial" w:cs="Arial"/>
          <w:sz w:val="24"/>
          <w:szCs w:val="24"/>
        </w:rPr>
        <w:t xml:space="preserve"> 13.8 – 10 = </w:t>
      </w:r>
      <w:r w:rsidRPr="000A1E8E">
        <w:rPr>
          <w:rFonts w:ascii="Arial" w:hAnsi="Arial" w:cs="Arial"/>
          <w:b/>
          <w:bCs/>
          <w:sz w:val="24"/>
          <w:szCs w:val="24"/>
        </w:rPr>
        <w:t>3.8m</w:t>
      </w:r>
    </w:p>
    <w:p w14:paraId="059176D0" w14:textId="77777777" w:rsidR="003B2681" w:rsidRPr="000A1E8E" w:rsidRDefault="003B2681" w:rsidP="003B2681">
      <w:pPr>
        <w:spacing w:line="360" w:lineRule="auto"/>
        <w:rPr>
          <w:rFonts w:ascii="Arial" w:hAnsi="Arial" w:cs="Arial"/>
          <w:sz w:val="24"/>
          <w:szCs w:val="24"/>
        </w:rPr>
      </w:pPr>
    </w:p>
    <w:p w14:paraId="3887CCA0"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Step 4: ARR Calculation</w:t>
      </w:r>
    </w:p>
    <w:p w14:paraId="4CC1DF68" w14:textId="77777777" w:rsidR="003B2681" w:rsidRPr="000A1E8E" w:rsidRDefault="003B2681" w:rsidP="003B2681">
      <w:pPr>
        <w:spacing w:line="360" w:lineRule="auto"/>
        <w:rPr>
          <w:rFonts w:ascii="Arial" w:hAnsi="Arial" w:cs="Arial"/>
          <w:sz w:val="24"/>
          <w:szCs w:val="24"/>
        </w:rPr>
      </w:pPr>
      <m:oMathPara>
        <m:oMath>
          <m:r>
            <w:rPr>
              <w:rFonts w:ascii="Cambria Math" w:hAnsi="Cambria Math" w:cs="Arial"/>
              <w:sz w:val="24"/>
              <w:szCs w:val="24"/>
            </w:rPr>
            <m:t>ARR=</m:t>
          </m:r>
          <m:f>
            <m:fPr>
              <m:ctrlPr>
                <w:rPr>
                  <w:rFonts w:ascii="Cambria Math" w:hAnsi="Cambria Math" w:cs="Arial"/>
                  <w:sz w:val="24"/>
                  <w:szCs w:val="24"/>
                </w:rPr>
              </m:ctrlPr>
            </m:fPr>
            <m:num>
              <m:r>
                <m:rPr>
                  <m:nor/>
                </m:rPr>
                <w:rPr>
                  <w:rFonts w:ascii="Arial" w:hAnsi="Arial" w:cs="Arial"/>
                  <w:sz w:val="24"/>
                  <w:szCs w:val="24"/>
                </w:rPr>
                <m:t>Average Accounting Profit</m:t>
              </m:r>
            </m:num>
            <m:den>
              <m:r>
                <m:rPr>
                  <m:nor/>
                </m:rPr>
                <w:rPr>
                  <w:rFonts w:ascii="Arial" w:hAnsi="Arial" w:cs="Arial"/>
                  <w:sz w:val="24"/>
                  <w:szCs w:val="24"/>
                </w:rPr>
                <m:t>Initial Investment</m:t>
              </m:r>
            </m:den>
          </m:f>
          <m:r>
            <w:rPr>
              <w:rFonts w:ascii="Cambria Math" w:hAnsi="Cambria Math" w:cs="Arial"/>
              <w:sz w:val="24"/>
              <w:szCs w:val="24"/>
            </w:rPr>
            <m:t>×100</m:t>
          </m:r>
          <m:r>
            <w:rPr>
              <w:rFonts w:ascii="Cambria Math" w:hAnsi="Cambria Math" w:cs="Arial"/>
              <w:sz w:val="24"/>
              <w:szCs w:val="24"/>
            </w:rPr>
            <w:br/>
          </m:r>
        </m:oMath>
      </m:oMathPara>
    </w:p>
    <w:p w14:paraId="44A464FC" w14:textId="77777777" w:rsidR="003B2681" w:rsidRPr="000A1E8E" w:rsidRDefault="003B2681" w:rsidP="003B2681">
      <w:pPr>
        <w:numPr>
          <w:ilvl w:val="0"/>
          <w:numId w:val="9"/>
        </w:numPr>
        <w:spacing w:line="360" w:lineRule="auto"/>
        <w:rPr>
          <w:rFonts w:ascii="Arial" w:hAnsi="Arial" w:cs="Arial"/>
          <w:sz w:val="24"/>
          <w:szCs w:val="24"/>
        </w:rPr>
      </w:pPr>
      <w:r w:rsidRPr="000A1E8E">
        <w:rPr>
          <w:rFonts w:ascii="Arial" w:hAnsi="Arial" w:cs="Arial"/>
          <w:b/>
          <w:bCs/>
          <w:sz w:val="24"/>
          <w:szCs w:val="24"/>
        </w:rPr>
        <w:t>A:</w:t>
      </w:r>
      <w:r w:rsidRPr="000A1E8E">
        <w:rPr>
          <w:rFonts w:ascii="Arial" w:hAnsi="Arial" w:cs="Arial"/>
          <w:sz w:val="24"/>
          <w:szCs w:val="24"/>
        </w:rPr>
        <w:t xml:space="preserve"> (2.2 ÷ 40) × 100 = </w:t>
      </w:r>
      <w:r w:rsidRPr="000A1E8E">
        <w:rPr>
          <w:rFonts w:ascii="Arial" w:hAnsi="Arial" w:cs="Arial"/>
          <w:b/>
          <w:bCs/>
          <w:sz w:val="24"/>
          <w:szCs w:val="24"/>
        </w:rPr>
        <w:t>5.5%</w:t>
      </w:r>
    </w:p>
    <w:p w14:paraId="71C2E6F8" w14:textId="77777777" w:rsidR="003B2681" w:rsidRPr="000A1E8E" w:rsidRDefault="003B2681" w:rsidP="003B2681">
      <w:pPr>
        <w:numPr>
          <w:ilvl w:val="0"/>
          <w:numId w:val="9"/>
        </w:numPr>
        <w:spacing w:line="360" w:lineRule="auto"/>
        <w:rPr>
          <w:rFonts w:ascii="Arial" w:hAnsi="Arial" w:cs="Arial"/>
          <w:sz w:val="24"/>
          <w:szCs w:val="24"/>
        </w:rPr>
      </w:pPr>
      <w:r w:rsidRPr="000A1E8E">
        <w:rPr>
          <w:rFonts w:ascii="Arial" w:hAnsi="Arial" w:cs="Arial"/>
          <w:b/>
          <w:bCs/>
          <w:sz w:val="24"/>
          <w:szCs w:val="24"/>
        </w:rPr>
        <w:t>B:</w:t>
      </w:r>
      <w:r w:rsidRPr="000A1E8E">
        <w:rPr>
          <w:rFonts w:ascii="Arial" w:hAnsi="Arial" w:cs="Arial"/>
          <w:sz w:val="24"/>
          <w:szCs w:val="24"/>
        </w:rPr>
        <w:t xml:space="preserve"> (0.8 ÷ 30) × 100 = </w:t>
      </w:r>
      <w:r w:rsidRPr="000A1E8E">
        <w:rPr>
          <w:rFonts w:ascii="Arial" w:hAnsi="Arial" w:cs="Arial"/>
          <w:b/>
          <w:bCs/>
          <w:sz w:val="24"/>
          <w:szCs w:val="24"/>
        </w:rPr>
        <w:t>2.7%</w:t>
      </w:r>
    </w:p>
    <w:p w14:paraId="5D23A69D" w14:textId="77777777" w:rsidR="003B2681" w:rsidRPr="000A1E8E" w:rsidRDefault="003B2681" w:rsidP="003B2681">
      <w:pPr>
        <w:numPr>
          <w:ilvl w:val="0"/>
          <w:numId w:val="9"/>
        </w:numPr>
        <w:spacing w:line="360" w:lineRule="auto"/>
        <w:rPr>
          <w:rFonts w:ascii="Arial" w:hAnsi="Arial" w:cs="Arial"/>
          <w:sz w:val="24"/>
          <w:szCs w:val="24"/>
        </w:rPr>
      </w:pPr>
      <w:r w:rsidRPr="000A1E8E">
        <w:rPr>
          <w:rFonts w:ascii="Arial" w:hAnsi="Arial" w:cs="Arial"/>
          <w:b/>
          <w:bCs/>
          <w:sz w:val="24"/>
          <w:szCs w:val="24"/>
        </w:rPr>
        <w:lastRenderedPageBreak/>
        <w:t>C:</w:t>
      </w:r>
      <w:r w:rsidRPr="000A1E8E">
        <w:rPr>
          <w:rFonts w:ascii="Arial" w:hAnsi="Arial" w:cs="Arial"/>
          <w:sz w:val="24"/>
          <w:szCs w:val="24"/>
        </w:rPr>
        <w:t xml:space="preserve"> (3.8 ÷ 50) × 100 = </w:t>
      </w:r>
      <w:r w:rsidRPr="000A1E8E">
        <w:rPr>
          <w:rFonts w:ascii="Arial" w:hAnsi="Arial" w:cs="Arial"/>
          <w:b/>
          <w:bCs/>
          <w:sz w:val="24"/>
          <w:szCs w:val="24"/>
        </w:rPr>
        <w:t>7.6%</w:t>
      </w:r>
    </w:p>
    <w:p w14:paraId="3BBBABE1" w14:textId="77777777" w:rsidR="003B2681" w:rsidRPr="000A1E8E" w:rsidRDefault="003B2681" w:rsidP="003B2681">
      <w:pPr>
        <w:spacing w:line="360" w:lineRule="auto"/>
        <w:rPr>
          <w:rFonts w:ascii="Arial" w:hAnsi="Arial" w:cs="Arial"/>
          <w:sz w:val="24"/>
          <w:szCs w:val="24"/>
        </w:rPr>
      </w:pPr>
    </w:p>
    <w:p w14:paraId="29BD9E39"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 xml:space="preserve">ARR Interpretation </w:t>
      </w:r>
    </w:p>
    <w:p w14:paraId="6A6BAF1F" w14:textId="77777777" w:rsidR="003B2681" w:rsidRPr="00826458" w:rsidRDefault="003B2681" w:rsidP="003B2681">
      <w:pPr>
        <w:pStyle w:val="ListParagraph"/>
        <w:numPr>
          <w:ilvl w:val="0"/>
          <w:numId w:val="21"/>
        </w:numPr>
        <w:spacing w:line="360" w:lineRule="auto"/>
        <w:rPr>
          <w:rFonts w:ascii="Arial" w:hAnsi="Arial" w:cs="Arial"/>
          <w:sz w:val="24"/>
          <w:szCs w:val="24"/>
        </w:rPr>
      </w:pPr>
      <w:r w:rsidRPr="00826458">
        <w:rPr>
          <w:rFonts w:ascii="Arial" w:hAnsi="Arial" w:cs="Arial"/>
          <w:sz w:val="24"/>
          <w:szCs w:val="24"/>
        </w:rPr>
        <w:t xml:space="preserve">Project C has the best ARR (7.6%), which means that the profitability was the highest compared to the amount of </w:t>
      </w:r>
      <w:proofErr w:type="gramStart"/>
      <w:r w:rsidRPr="00826458">
        <w:rPr>
          <w:rFonts w:ascii="Arial" w:hAnsi="Arial" w:cs="Arial"/>
          <w:sz w:val="24"/>
          <w:szCs w:val="24"/>
        </w:rPr>
        <w:t>the investment</w:t>
      </w:r>
      <w:proofErr w:type="gramEnd"/>
      <w:r w:rsidRPr="00826458">
        <w:rPr>
          <w:rFonts w:ascii="Arial" w:hAnsi="Arial" w:cs="Arial"/>
          <w:sz w:val="24"/>
          <w:szCs w:val="24"/>
        </w:rPr>
        <w:t xml:space="preserve"> made. </w:t>
      </w:r>
    </w:p>
    <w:p w14:paraId="402A1DDD" w14:textId="77777777" w:rsidR="003B2681" w:rsidRPr="00826458" w:rsidRDefault="003B2681" w:rsidP="003B2681">
      <w:pPr>
        <w:pStyle w:val="ListParagraph"/>
        <w:numPr>
          <w:ilvl w:val="0"/>
          <w:numId w:val="21"/>
        </w:numPr>
        <w:spacing w:line="360" w:lineRule="auto"/>
        <w:rPr>
          <w:rFonts w:ascii="Arial" w:hAnsi="Arial" w:cs="Arial"/>
          <w:sz w:val="24"/>
          <w:szCs w:val="24"/>
        </w:rPr>
      </w:pPr>
      <w:r w:rsidRPr="00826458">
        <w:rPr>
          <w:rFonts w:ascii="Arial" w:hAnsi="Arial" w:cs="Arial"/>
          <w:sz w:val="24"/>
          <w:szCs w:val="24"/>
        </w:rPr>
        <w:t xml:space="preserve">Project A (5.5) is average and better than the current ROA of the firm (negative at 3). </w:t>
      </w:r>
    </w:p>
    <w:p w14:paraId="2AC88CD1" w14:textId="77777777" w:rsidR="003B2681" w:rsidRPr="00826458" w:rsidRDefault="003B2681" w:rsidP="003B2681">
      <w:pPr>
        <w:pStyle w:val="ListParagraph"/>
        <w:numPr>
          <w:ilvl w:val="0"/>
          <w:numId w:val="21"/>
        </w:numPr>
        <w:spacing w:line="360" w:lineRule="auto"/>
        <w:rPr>
          <w:rFonts w:ascii="Arial" w:hAnsi="Arial" w:cs="Arial"/>
          <w:sz w:val="24"/>
          <w:szCs w:val="24"/>
        </w:rPr>
      </w:pPr>
      <w:r w:rsidRPr="00826458">
        <w:rPr>
          <w:rFonts w:ascii="Arial" w:hAnsi="Arial" w:cs="Arial"/>
          <w:sz w:val="24"/>
          <w:szCs w:val="24"/>
        </w:rPr>
        <w:t xml:space="preserve">ARR wise, project B (2.7) has the worst accounting </w:t>
      </w:r>
      <w:proofErr w:type="gramStart"/>
      <w:r w:rsidRPr="00826458">
        <w:rPr>
          <w:rFonts w:ascii="Arial" w:hAnsi="Arial" w:cs="Arial"/>
          <w:sz w:val="24"/>
          <w:szCs w:val="24"/>
        </w:rPr>
        <w:t>return</w:t>
      </w:r>
      <w:proofErr w:type="gramEnd"/>
      <w:r w:rsidRPr="00826458">
        <w:rPr>
          <w:rFonts w:ascii="Arial" w:hAnsi="Arial" w:cs="Arial"/>
          <w:sz w:val="24"/>
          <w:szCs w:val="24"/>
        </w:rPr>
        <w:t xml:space="preserve"> and it is much lower than the cost of capital of the firm, so it is not attractive.</w:t>
      </w:r>
    </w:p>
    <w:p w14:paraId="6ACEE61F"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5.3 Net Present Value (NPV)</w:t>
      </w:r>
    </w:p>
    <w:p w14:paraId="1E5F15F2" w14:textId="77777777" w:rsidR="003B2681" w:rsidRPr="000A1E8E" w:rsidRDefault="003B2681" w:rsidP="003B2681">
      <w:pPr>
        <w:spacing w:line="360" w:lineRule="auto"/>
        <w:rPr>
          <w:rFonts w:ascii="Arial" w:hAnsi="Arial" w:cs="Arial"/>
          <w:sz w:val="24"/>
          <w:szCs w:val="24"/>
        </w:rPr>
      </w:pPr>
      <w:r w:rsidRPr="00826458">
        <w:rPr>
          <w:rFonts w:ascii="Arial" w:hAnsi="Arial" w:cs="Arial"/>
          <w:sz w:val="24"/>
          <w:szCs w:val="24"/>
        </w:rPr>
        <w:t>NPV takes the discounted amount of the future cash inflow, with the discount rate of cost of capital in the company (10%), and the difference between the discounted amount and the initial cost is subtracted. When the NPV is positive it means that it creates value.</w:t>
      </w:r>
    </w:p>
    <w:p w14:paraId="40D9A0EF" w14:textId="77777777" w:rsidR="003B2681" w:rsidRPr="000A1E8E" w:rsidRDefault="003B2681" w:rsidP="003B2681">
      <w:pPr>
        <w:spacing w:line="360" w:lineRule="auto"/>
        <w:rPr>
          <w:rFonts w:ascii="Arial" w:hAnsi="Arial" w:cs="Arial"/>
          <w:sz w:val="24"/>
          <w:szCs w:val="24"/>
        </w:rPr>
      </w:pPr>
      <w:r w:rsidRPr="000A1E8E">
        <w:rPr>
          <w:rFonts w:ascii="Arial" w:hAnsi="Arial" w:cs="Arial"/>
          <w:sz w:val="24"/>
          <w:szCs w:val="24"/>
        </w:rPr>
        <w:t>PV Factors at 10%</w:t>
      </w:r>
    </w:p>
    <w:tbl>
      <w:tblPr>
        <w:tblStyle w:val="TableGrid"/>
        <w:tblW w:w="0" w:type="auto"/>
        <w:tblLook w:val="04A0" w:firstRow="1" w:lastRow="0" w:firstColumn="1" w:lastColumn="0" w:noHBand="0" w:noVBand="1"/>
      </w:tblPr>
      <w:tblGrid>
        <w:gridCol w:w="737"/>
        <w:gridCol w:w="1337"/>
      </w:tblGrid>
      <w:tr w:rsidR="003B2681" w:rsidRPr="000A1E8E" w14:paraId="5BE30CBE" w14:textId="77777777" w:rsidTr="008608DC">
        <w:tc>
          <w:tcPr>
            <w:tcW w:w="0" w:type="auto"/>
            <w:hideMark/>
          </w:tcPr>
          <w:p w14:paraId="77FFB741"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Year</w:t>
            </w:r>
          </w:p>
        </w:tc>
        <w:tc>
          <w:tcPr>
            <w:tcW w:w="0" w:type="auto"/>
            <w:hideMark/>
          </w:tcPr>
          <w:p w14:paraId="28262EED"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PV Factor</w:t>
            </w:r>
          </w:p>
        </w:tc>
      </w:tr>
      <w:tr w:rsidR="003B2681" w:rsidRPr="000A1E8E" w14:paraId="7B620BD2" w14:textId="77777777" w:rsidTr="008608DC">
        <w:tc>
          <w:tcPr>
            <w:tcW w:w="0" w:type="auto"/>
            <w:hideMark/>
          </w:tcPr>
          <w:p w14:paraId="306CBC47"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1</w:t>
            </w:r>
          </w:p>
        </w:tc>
        <w:tc>
          <w:tcPr>
            <w:tcW w:w="0" w:type="auto"/>
            <w:hideMark/>
          </w:tcPr>
          <w:p w14:paraId="567FAECE"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0.909</w:t>
            </w:r>
          </w:p>
        </w:tc>
      </w:tr>
      <w:tr w:rsidR="003B2681" w:rsidRPr="000A1E8E" w14:paraId="191DCBCE" w14:textId="77777777" w:rsidTr="008608DC">
        <w:tc>
          <w:tcPr>
            <w:tcW w:w="0" w:type="auto"/>
            <w:hideMark/>
          </w:tcPr>
          <w:p w14:paraId="7B6C6235"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2</w:t>
            </w:r>
          </w:p>
        </w:tc>
        <w:tc>
          <w:tcPr>
            <w:tcW w:w="0" w:type="auto"/>
            <w:hideMark/>
          </w:tcPr>
          <w:p w14:paraId="08009341"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0.826</w:t>
            </w:r>
          </w:p>
        </w:tc>
      </w:tr>
      <w:tr w:rsidR="003B2681" w:rsidRPr="000A1E8E" w14:paraId="36A60ACC" w14:textId="77777777" w:rsidTr="008608DC">
        <w:tc>
          <w:tcPr>
            <w:tcW w:w="0" w:type="auto"/>
            <w:hideMark/>
          </w:tcPr>
          <w:p w14:paraId="2720513D"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3</w:t>
            </w:r>
          </w:p>
        </w:tc>
        <w:tc>
          <w:tcPr>
            <w:tcW w:w="0" w:type="auto"/>
            <w:hideMark/>
          </w:tcPr>
          <w:p w14:paraId="1DD95BDE"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0.751</w:t>
            </w:r>
          </w:p>
        </w:tc>
      </w:tr>
      <w:tr w:rsidR="003B2681" w:rsidRPr="000A1E8E" w14:paraId="1DF7B92A" w14:textId="77777777" w:rsidTr="008608DC">
        <w:tc>
          <w:tcPr>
            <w:tcW w:w="0" w:type="auto"/>
            <w:hideMark/>
          </w:tcPr>
          <w:p w14:paraId="1AF901F6"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4</w:t>
            </w:r>
          </w:p>
        </w:tc>
        <w:tc>
          <w:tcPr>
            <w:tcW w:w="0" w:type="auto"/>
            <w:hideMark/>
          </w:tcPr>
          <w:p w14:paraId="5DCD09A4"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0.683</w:t>
            </w:r>
          </w:p>
        </w:tc>
      </w:tr>
      <w:tr w:rsidR="003B2681" w:rsidRPr="000A1E8E" w14:paraId="2A6C81F1" w14:textId="77777777" w:rsidTr="008608DC">
        <w:tc>
          <w:tcPr>
            <w:tcW w:w="0" w:type="auto"/>
            <w:hideMark/>
          </w:tcPr>
          <w:p w14:paraId="438738E7"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5</w:t>
            </w:r>
          </w:p>
        </w:tc>
        <w:tc>
          <w:tcPr>
            <w:tcW w:w="0" w:type="auto"/>
            <w:hideMark/>
          </w:tcPr>
          <w:p w14:paraId="359EDC0C" w14:textId="77777777" w:rsidR="003B2681" w:rsidRPr="000A1E8E" w:rsidRDefault="003B2681" w:rsidP="008608DC">
            <w:pPr>
              <w:spacing w:after="160" w:line="360" w:lineRule="auto"/>
              <w:rPr>
                <w:rFonts w:ascii="Arial" w:hAnsi="Arial" w:cs="Arial"/>
                <w:b/>
                <w:bCs/>
                <w:sz w:val="24"/>
                <w:szCs w:val="24"/>
              </w:rPr>
            </w:pPr>
            <w:r w:rsidRPr="000A1E8E">
              <w:rPr>
                <w:rFonts w:ascii="Arial" w:hAnsi="Arial" w:cs="Arial"/>
                <w:b/>
                <w:bCs/>
                <w:sz w:val="24"/>
                <w:szCs w:val="24"/>
              </w:rPr>
              <w:t>0.621</w:t>
            </w:r>
          </w:p>
        </w:tc>
      </w:tr>
    </w:tbl>
    <w:p w14:paraId="1FC1BC44" w14:textId="77777777" w:rsidR="003B2681" w:rsidRPr="000A1E8E" w:rsidRDefault="003B2681" w:rsidP="003B2681">
      <w:pPr>
        <w:spacing w:line="360" w:lineRule="auto"/>
        <w:rPr>
          <w:rFonts w:ascii="Arial" w:hAnsi="Arial" w:cs="Arial"/>
          <w:b/>
          <w:bCs/>
          <w:sz w:val="24"/>
          <w:szCs w:val="24"/>
        </w:rPr>
      </w:pPr>
    </w:p>
    <w:p w14:paraId="66603BA4"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A – Full PV Calculation</w:t>
      </w:r>
    </w:p>
    <w:p w14:paraId="14DCF299"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PV=15(0.909)+12(0.826)+10(0.751)+8(0.683)+6(0.621)</m:t>
          </m:r>
          <m:r>
            <m:rPr>
              <m:sty m:val="bi"/>
            </m:rPr>
            <w:rPr>
              <w:rFonts w:ascii="Cambria Math" w:hAnsi="Cambria Math" w:cs="Arial"/>
              <w:sz w:val="24"/>
              <w:szCs w:val="24"/>
            </w:rPr>
            <w:br/>
          </m:r>
        </m:oMath>
      </m:oMathPara>
    </w:p>
    <w:p w14:paraId="7B53A042"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w:t>
      </w:r>
    </w:p>
    <w:p w14:paraId="52380B85" w14:textId="77777777" w:rsidR="003B2681" w:rsidRPr="000A1E8E" w:rsidRDefault="003B2681" w:rsidP="003B2681">
      <w:pPr>
        <w:numPr>
          <w:ilvl w:val="0"/>
          <w:numId w:val="10"/>
        </w:numPr>
        <w:spacing w:line="360" w:lineRule="auto"/>
        <w:rPr>
          <w:rFonts w:ascii="Arial" w:hAnsi="Arial" w:cs="Arial"/>
          <w:b/>
          <w:bCs/>
          <w:sz w:val="24"/>
          <w:szCs w:val="24"/>
        </w:rPr>
      </w:pPr>
      <w:r w:rsidRPr="000A1E8E">
        <w:rPr>
          <w:rFonts w:ascii="Arial" w:hAnsi="Arial" w:cs="Arial"/>
          <w:b/>
          <w:bCs/>
          <w:sz w:val="24"/>
          <w:szCs w:val="24"/>
        </w:rPr>
        <w:t>15 × 0.909 = 13.64</w:t>
      </w:r>
    </w:p>
    <w:p w14:paraId="4B1EDDC9" w14:textId="77777777" w:rsidR="003B2681" w:rsidRPr="000A1E8E" w:rsidRDefault="003B2681" w:rsidP="003B2681">
      <w:pPr>
        <w:numPr>
          <w:ilvl w:val="0"/>
          <w:numId w:val="10"/>
        </w:numPr>
        <w:spacing w:line="360" w:lineRule="auto"/>
        <w:rPr>
          <w:rFonts w:ascii="Arial" w:hAnsi="Arial" w:cs="Arial"/>
          <w:b/>
          <w:bCs/>
          <w:sz w:val="24"/>
          <w:szCs w:val="24"/>
        </w:rPr>
      </w:pPr>
      <w:r w:rsidRPr="000A1E8E">
        <w:rPr>
          <w:rFonts w:ascii="Arial" w:hAnsi="Arial" w:cs="Arial"/>
          <w:b/>
          <w:bCs/>
          <w:sz w:val="24"/>
          <w:szCs w:val="24"/>
        </w:rPr>
        <w:lastRenderedPageBreak/>
        <w:t>12 × 0.826 = 9.91</w:t>
      </w:r>
    </w:p>
    <w:p w14:paraId="7A2F3425" w14:textId="77777777" w:rsidR="003B2681" w:rsidRPr="000A1E8E" w:rsidRDefault="003B2681" w:rsidP="003B2681">
      <w:pPr>
        <w:numPr>
          <w:ilvl w:val="0"/>
          <w:numId w:val="10"/>
        </w:numPr>
        <w:spacing w:line="360" w:lineRule="auto"/>
        <w:rPr>
          <w:rFonts w:ascii="Arial" w:hAnsi="Arial" w:cs="Arial"/>
          <w:b/>
          <w:bCs/>
          <w:sz w:val="24"/>
          <w:szCs w:val="24"/>
        </w:rPr>
      </w:pPr>
      <w:r w:rsidRPr="000A1E8E">
        <w:rPr>
          <w:rFonts w:ascii="Arial" w:hAnsi="Arial" w:cs="Arial"/>
          <w:b/>
          <w:bCs/>
          <w:sz w:val="24"/>
          <w:szCs w:val="24"/>
        </w:rPr>
        <w:t>10 × 0.751 = 7.51</w:t>
      </w:r>
    </w:p>
    <w:p w14:paraId="7FF05E42" w14:textId="77777777" w:rsidR="003B2681" w:rsidRPr="000A1E8E" w:rsidRDefault="003B2681" w:rsidP="003B2681">
      <w:pPr>
        <w:numPr>
          <w:ilvl w:val="0"/>
          <w:numId w:val="10"/>
        </w:numPr>
        <w:spacing w:line="360" w:lineRule="auto"/>
        <w:rPr>
          <w:rFonts w:ascii="Arial" w:hAnsi="Arial" w:cs="Arial"/>
          <w:b/>
          <w:bCs/>
          <w:sz w:val="24"/>
          <w:szCs w:val="24"/>
        </w:rPr>
      </w:pPr>
      <w:r w:rsidRPr="000A1E8E">
        <w:rPr>
          <w:rFonts w:ascii="Arial" w:hAnsi="Arial" w:cs="Arial"/>
          <w:b/>
          <w:bCs/>
          <w:sz w:val="24"/>
          <w:szCs w:val="24"/>
        </w:rPr>
        <w:t>8 × 0.683 = 5.46</w:t>
      </w:r>
    </w:p>
    <w:p w14:paraId="435CFCB1" w14:textId="77777777" w:rsidR="003B2681" w:rsidRPr="000A1E8E" w:rsidRDefault="003B2681" w:rsidP="003B2681">
      <w:pPr>
        <w:numPr>
          <w:ilvl w:val="0"/>
          <w:numId w:val="10"/>
        </w:numPr>
        <w:spacing w:line="360" w:lineRule="auto"/>
        <w:rPr>
          <w:rFonts w:ascii="Arial" w:hAnsi="Arial" w:cs="Arial"/>
          <w:b/>
          <w:bCs/>
          <w:sz w:val="24"/>
          <w:szCs w:val="24"/>
        </w:rPr>
      </w:pPr>
      <w:r w:rsidRPr="000A1E8E">
        <w:rPr>
          <w:rFonts w:ascii="Arial" w:hAnsi="Arial" w:cs="Arial"/>
          <w:b/>
          <w:bCs/>
          <w:sz w:val="24"/>
          <w:szCs w:val="24"/>
        </w:rPr>
        <w:t>6 × 0.621 = 3.73</w:t>
      </w:r>
    </w:p>
    <w:p w14:paraId="6156EFBC"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A</m:t>
              </m:r>
            </m:sub>
          </m:sSub>
          <m:r>
            <m:rPr>
              <m:sty m:val="bi"/>
            </m:rPr>
            <w:rPr>
              <w:rFonts w:ascii="Cambria Math" w:hAnsi="Cambria Math" w:cs="Arial"/>
              <w:sz w:val="24"/>
              <w:szCs w:val="24"/>
            </w:rPr>
            <m:t>=40.25</m:t>
          </m:r>
          <m:r>
            <m:rPr>
              <m:sty m:val="bi"/>
            </m:rPr>
            <w:rPr>
              <w:rFonts w:ascii="Cambria Math" w:hAnsi="Cambria Math" w:cs="Arial"/>
              <w:sz w:val="24"/>
              <w:szCs w:val="24"/>
            </w:rPr>
            <m:t>m</m:t>
          </m:r>
          <m:r>
            <m:rPr>
              <m:sty m:val="bi"/>
            </m:rPr>
            <w:rPr>
              <w:rFonts w:ascii="Cambria Math" w:hAnsi="Cambria Math" w:cs="Arial"/>
              <w:sz w:val="24"/>
              <w:szCs w:val="24"/>
            </w:rPr>
            <w:br/>
          </m:r>
        </m:oMath>
        <m:oMath>
          <m:r>
            <m:rPr>
              <m:sty m:val="bi"/>
            </m:rPr>
            <w:rPr>
              <w:rFonts w:ascii="Cambria Math" w:hAnsi="Cambria Math" w:cs="Arial"/>
              <w:sz w:val="24"/>
              <w:szCs w:val="24"/>
            </w:rPr>
            <m:t>NP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A</m:t>
              </m:r>
            </m:sub>
          </m:sSub>
          <m:r>
            <m:rPr>
              <m:sty m:val="bi"/>
            </m:rPr>
            <w:rPr>
              <w:rFonts w:ascii="Cambria Math" w:hAnsi="Cambria Math" w:cs="Arial"/>
              <w:sz w:val="24"/>
              <w:szCs w:val="24"/>
            </w:rPr>
            <m:t>=40.25-40=+</m:t>
          </m:r>
          <m:r>
            <m:rPr>
              <m:sty m:val="b"/>
            </m:rPr>
            <w:rPr>
              <w:rFonts w:ascii="Cambria Math" w:hAnsi="Cambria Math" w:cs="Arial"/>
              <w:sz w:val="24"/>
              <w:szCs w:val="24"/>
            </w:rPr>
            <m:t>0.25m</m:t>
          </m:r>
          <m:r>
            <m:rPr>
              <m:sty m:val="b"/>
            </m:rPr>
            <w:rPr>
              <w:rFonts w:ascii="Cambria Math" w:hAnsi="Cambria Math" w:cs="Arial"/>
              <w:sz w:val="24"/>
              <w:szCs w:val="24"/>
            </w:rPr>
            <w:br/>
          </m:r>
        </m:oMath>
      </m:oMathPara>
    </w:p>
    <w:p w14:paraId="5F37EC8A" w14:textId="77777777" w:rsidR="003B2681" w:rsidRPr="000A1E8E" w:rsidRDefault="003B2681" w:rsidP="003B2681">
      <w:pPr>
        <w:spacing w:line="360" w:lineRule="auto"/>
        <w:rPr>
          <w:rFonts w:ascii="Arial" w:hAnsi="Arial" w:cs="Arial"/>
          <w:b/>
          <w:bCs/>
          <w:sz w:val="24"/>
          <w:szCs w:val="24"/>
        </w:rPr>
      </w:pPr>
    </w:p>
    <w:p w14:paraId="7F7A63E3"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B – Full PV Calculation</w:t>
      </w:r>
    </w:p>
    <w:p w14:paraId="1557020A"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PV=10(0.909)+8(0.826)+7(0.751)+5(0.683)+4(0.621)</m:t>
          </m:r>
          <m:r>
            <m:rPr>
              <m:sty m:val="bi"/>
            </m:rPr>
            <w:rPr>
              <w:rFonts w:ascii="Cambria Math" w:hAnsi="Cambria Math" w:cs="Arial"/>
              <w:sz w:val="24"/>
              <w:szCs w:val="24"/>
            </w:rPr>
            <w:br/>
          </m:r>
        </m:oMath>
      </m:oMathPara>
    </w:p>
    <w:p w14:paraId="45F5F5CD"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w:t>
      </w:r>
    </w:p>
    <w:p w14:paraId="07E38DD8" w14:textId="77777777" w:rsidR="003B2681" w:rsidRPr="000A1E8E" w:rsidRDefault="003B2681" w:rsidP="003B2681">
      <w:pPr>
        <w:numPr>
          <w:ilvl w:val="0"/>
          <w:numId w:val="11"/>
        </w:numPr>
        <w:spacing w:line="360" w:lineRule="auto"/>
        <w:rPr>
          <w:rFonts w:ascii="Arial" w:hAnsi="Arial" w:cs="Arial"/>
          <w:b/>
          <w:bCs/>
          <w:sz w:val="24"/>
          <w:szCs w:val="24"/>
        </w:rPr>
      </w:pPr>
      <w:r w:rsidRPr="000A1E8E">
        <w:rPr>
          <w:rFonts w:ascii="Arial" w:hAnsi="Arial" w:cs="Arial"/>
          <w:b/>
          <w:bCs/>
          <w:sz w:val="24"/>
          <w:szCs w:val="24"/>
        </w:rPr>
        <w:t>9.09</w:t>
      </w:r>
    </w:p>
    <w:p w14:paraId="3FC55F2D" w14:textId="77777777" w:rsidR="003B2681" w:rsidRPr="000A1E8E" w:rsidRDefault="003B2681" w:rsidP="003B2681">
      <w:pPr>
        <w:numPr>
          <w:ilvl w:val="0"/>
          <w:numId w:val="11"/>
        </w:numPr>
        <w:spacing w:line="360" w:lineRule="auto"/>
        <w:rPr>
          <w:rFonts w:ascii="Arial" w:hAnsi="Arial" w:cs="Arial"/>
          <w:b/>
          <w:bCs/>
          <w:sz w:val="24"/>
          <w:szCs w:val="24"/>
        </w:rPr>
      </w:pPr>
      <w:r w:rsidRPr="000A1E8E">
        <w:rPr>
          <w:rFonts w:ascii="Arial" w:hAnsi="Arial" w:cs="Arial"/>
          <w:b/>
          <w:bCs/>
          <w:sz w:val="24"/>
          <w:szCs w:val="24"/>
        </w:rPr>
        <w:t>6.61</w:t>
      </w:r>
    </w:p>
    <w:p w14:paraId="11E114AC" w14:textId="77777777" w:rsidR="003B2681" w:rsidRPr="000A1E8E" w:rsidRDefault="003B2681" w:rsidP="003B2681">
      <w:pPr>
        <w:numPr>
          <w:ilvl w:val="0"/>
          <w:numId w:val="11"/>
        </w:numPr>
        <w:spacing w:line="360" w:lineRule="auto"/>
        <w:rPr>
          <w:rFonts w:ascii="Arial" w:hAnsi="Arial" w:cs="Arial"/>
          <w:b/>
          <w:bCs/>
          <w:sz w:val="24"/>
          <w:szCs w:val="24"/>
        </w:rPr>
      </w:pPr>
      <w:r w:rsidRPr="000A1E8E">
        <w:rPr>
          <w:rFonts w:ascii="Arial" w:hAnsi="Arial" w:cs="Arial"/>
          <w:b/>
          <w:bCs/>
          <w:sz w:val="24"/>
          <w:szCs w:val="24"/>
        </w:rPr>
        <w:t>5.26</w:t>
      </w:r>
    </w:p>
    <w:p w14:paraId="02E2BD5D" w14:textId="77777777" w:rsidR="003B2681" w:rsidRPr="000A1E8E" w:rsidRDefault="003B2681" w:rsidP="003B2681">
      <w:pPr>
        <w:numPr>
          <w:ilvl w:val="0"/>
          <w:numId w:val="11"/>
        </w:numPr>
        <w:spacing w:line="360" w:lineRule="auto"/>
        <w:rPr>
          <w:rFonts w:ascii="Arial" w:hAnsi="Arial" w:cs="Arial"/>
          <w:b/>
          <w:bCs/>
          <w:sz w:val="24"/>
          <w:szCs w:val="24"/>
        </w:rPr>
      </w:pPr>
      <w:r w:rsidRPr="000A1E8E">
        <w:rPr>
          <w:rFonts w:ascii="Arial" w:hAnsi="Arial" w:cs="Arial"/>
          <w:b/>
          <w:bCs/>
          <w:sz w:val="24"/>
          <w:szCs w:val="24"/>
        </w:rPr>
        <w:t>3.41</w:t>
      </w:r>
    </w:p>
    <w:p w14:paraId="4F875913" w14:textId="77777777" w:rsidR="003B2681" w:rsidRPr="000A1E8E" w:rsidRDefault="003B2681" w:rsidP="003B2681">
      <w:pPr>
        <w:numPr>
          <w:ilvl w:val="0"/>
          <w:numId w:val="11"/>
        </w:numPr>
        <w:spacing w:line="360" w:lineRule="auto"/>
        <w:rPr>
          <w:rFonts w:ascii="Arial" w:hAnsi="Arial" w:cs="Arial"/>
          <w:b/>
          <w:bCs/>
          <w:sz w:val="24"/>
          <w:szCs w:val="24"/>
        </w:rPr>
      </w:pPr>
      <w:r w:rsidRPr="000A1E8E">
        <w:rPr>
          <w:rFonts w:ascii="Arial" w:hAnsi="Arial" w:cs="Arial"/>
          <w:b/>
          <w:bCs/>
          <w:sz w:val="24"/>
          <w:szCs w:val="24"/>
        </w:rPr>
        <w:t>2.48</w:t>
      </w:r>
    </w:p>
    <w:p w14:paraId="167101E7"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B</m:t>
              </m:r>
            </m:sub>
          </m:sSub>
          <m:r>
            <m:rPr>
              <m:sty m:val="bi"/>
            </m:rPr>
            <w:rPr>
              <w:rFonts w:ascii="Cambria Math" w:hAnsi="Cambria Math" w:cs="Arial"/>
              <w:sz w:val="24"/>
              <w:szCs w:val="24"/>
            </w:rPr>
            <m:t>=26.85</m:t>
          </m:r>
          <m:r>
            <m:rPr>
              <m:sty m:val="bi"/>
            </m:rPr>
            <w:rPr>
              <w:rFonts w:ascii="Cambria Math" w:hAnsi="Cambria Math" w:cs="Arial"/>
              <w:sz w:val="24"/>
              <w:szCs w:val="24"/>
            </w:rPr>
            <m:t>m</m:t>
          </m:r>
          <m:r>
            <m:rPr>
              <m:sty m:val="bi"/>
            </m:rPr>
            <w:rPr>
              <w:rFonts w:ascii="Cambria Math" w:hAnsi="Cambria Math" w:cs="Arial"/>
              <w:sz w:val="24"/>
              <w:szCs w:val="24"/>
            </w:rPr>
            <w:br/>
          </m:r>
        </m:oMath>
        <m:oMath>
          <m:r>
            <m:rPr>
              <m:sty m:val="bi"/>
            </m:rPr>
            <w:rPr>
              <w:rFonts w:ascii="Cambria Math" w:hAnsi="Cambria Math" w:cs="Arial"/>
              <w:sz w:val="24"/>
              <w:szCs w:val="24"/>
            </w:rPr>
            <m:t>NP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B</m:t>
              </m:r>
            </m:sub>
          </m:sSub>
          <m:r>
            <m:rPr>
              <m:sty m:val="bi"/>
            </m:rPr>
            <w:rPr>
              <w:rFonts w:ascii="Cambria Math" w:hAnsi="Cambria Math" w:cs="Arial"/>
              <w:sz w:val="24"/>
              <w:szCs w:val="24"/>
            </w:rPr>
            <m:t>=26.85-30=-</m:t>
          </m:r>
          <m:r>
            <m:rPr>
              <m:sty m:val="b"/>
            </m:rPr>
            <w:rPr>
              <w:rFonts w:ascii="Cambria Math" w:hAnsi="Cambria Math" w:cs="Arial"/>
              <w:sz w:val="24"/>
              <w:szCs w:val="24"/>
            </w:rPr>
            <m:t>3.15m</m:t>
          </m:r>
          <m:r>
            <m:rPr>
              <m:sty m:val="b"/>
            </m:rPr>
            <w:rPr>
              <w:rFonts w:ascii="Cambria Math" w:hAnsi="Cambria Math" w:cs="Arial"/>
              <w:sz w:val="24"/>
              <w:szCs w:val="24"/>
            </w:rPr>
            <w:br/>
          </m:r>
        </m:oMath>
      </m:oMathPara>
    </w:p>
    <w:p w14:paraId="0862B6CA" w14:textId="77777777" w:rsidR="003B2681" w:rsidRPr="000A1E8E" w:rsidRDefault="003B2681" w:rsidP="003B2681">
      <w:pPr>
        <w:spacing w:line="360" w:lineRule="auto"/>
        <w:rPr>
          <w:rFonts w:ascii="Arial" w:hAnsi="Arial" w:cs="Arial"/>
          <w:b/>
          <w:bCs/>
          <w:sz w:val="24"/>
          <w:szCs w:val="24"/>
        </w:rPr>
      </w:pPr>
    </w:p>
    <w:p w14:paraId="4E0B1BE1"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C – Full PV Calculation</w:t>
      </w:r>
    </w:p>
    <w:p w14:paraId="1B395EEE"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PV=22(0.909)+18(0.826)+12(0.751)+9(0.683)+8(0.621)</m:t>
          </m:r>
          <m:r>
            <m:rPr>
              <m:sty m:val="bi"/>
            </m:rPr>
            <w:rPr>
              <w:rFonts w:ascii="Cambria Math" w:hAnsi="Cambria Math" w:cs="Arial"/>
              <w:sz w:val="24"/>
              <w:szCs w:val="24"/>
            </w:rPr>
            <w:br/>
          </m:r>
        </m:oMath>
      </m:oMathPara>
    </w:p>
    <w:p w14:paraId="02FBA249"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w:t>
      </w:r>
    </w:p>
    <w:p w14:paraId="0A8D8B7C" w14:textId="77777777" w:rsidR="003B2681" w:rsidRPr="000A1E8E" w:rsidRDefault="003B2681" w:rsidP="003B2681">
      <w:pPr>
        <w:numPr>
          <w:ilvl w:val="0"/>
          <w:numId w:val="12"/>
        </w:numPr>
        <w:spacing w:line="360" w:lineRule="auto"/>
        <w:rPr>
          <w:rFonts w:ascii="Arial" w:hAnsi="Arial" w:cs="Arial"/>
          <w:b/>
          <w:bCs/>
          <w:sz w:val="24"/>
          <w:szCs w:val="24"/>
        </w:rPr>
      </w:pPr>
      <w:r w:rsidRPr="000A1E8E">
        <w:rPr>
          <w:rFonts w:ascii="Arial" w:hAnsi="Arial" w:cs="Arial"/>
          <w:b/>
          <w:bCs/>
          <w:sz w:val="24"/>
          <w:szCs w:val="24"/>
        </w:rPr>
        <w:t>19.99</w:t>
      </w:r>
    </w:p>
    <w:p w14:paraId="732CDA08" w14:textId="77777777" w:rsidR="003B2681" w:rsidRPr="000A1E8E" w:rsidRDefault="003B2681" w:rsidP="003B2681">
      <w:pPr>
        <w:numPr>
          <w:ilvl w:val="0"/>
          <w:numId w:val="12"/>
        </w:numPr>
        <w:spacing w:line="360" w:lineRule="auto"/>
        <w:rPr>
          <w:rFonts w:ascii="Arial" w:hAnsi="Arial" w:cs="Arial"/>
          <w:b/>
          <w:bCs/>
          <w:sz w:val="24"/>
          <w:szCs w:val="24"/>
        </w:rPr>
      </w:pPr>
      <w:r w:rsidRPr="000A1E8E">
        <w:rPr>
          <w:rFonts w:ascii="Arial" w:hAnsi="Arial" w:cs="Arial"/>
          <w:b/>
          <w:bCs/>
          <w:sz w:val="24"/>
          <w:szCs w:val="24"/>
        </w:rPr>
        <w:lastRenderedPageBreak/>
        <w:t>14.87</w:t>
      </w:r>
    </w:p>
    <w:p w14:paraId="1AB54867" w14:textId="77777777" w:rsidR="003B2681" w:rsidRPr="000A1E8E" w:rsidRDefault="003B2681" w:rsidP="003B2681">
      <w:pPr>
        <w:numPr>
          <w:ilvl w:val="0"/>
          <w:numId w:val="12"/>
        </w:numPr>
        <w:spacing w:line="360" w:lineRule="auto"/>
        <w:rPr>
          <w:rFonts w:ascii="Arial" w:hAnsi="Arial" w:cs="Arial"/>
          <w:b/>
          <w:bCs/>
          <w:sz w:val="24"/>
          <w:szCs w:val="24"/>
        </w:rPr>
      </w:pPr>
      <w:r w:rsidRPr="000A1E8E">
        <w:rPr>
          <w:rFonts w:ascii="Arial" w:hAnsi="Arial" w:cs="Arial"/>
          <w:b/>
          <w:bCs/>
          <w:sz w:val="24"/>
          <w:szCs w:val="24"/>
        </w:rPr>
        <w:t>9.01</w:t>
      </w:r>
    </w:p>
    <w:p w14:paraId="37A76A84" w14:textId="77777777" w:rsidR="003B2681" w:rsidRPr="000A1E8E" w:rsidRDefault="003B2681" w:rsidP="003B2681">
      <w:pPr>
        <w:numPr>
          <w:ilvl w:val="0"/>
          <w:numId w:val="12"/>
        </w:numPr>
        <w:spacing w:line="360" w:lineRule="auto"/>
        <w:rPr>
          <w:rFonts w:ascii="Arial" w:hAnsi="Arial" w:cs="Arial"/>
          <w:b/>
          <w:bCs/>
          <w:sz w:val="24"/>
          <w:szCs w:val="24"/>
        </w:rPr>
      </w:pPr>
      <w:r w:rsidRPr="000A1E8E">
        <w:rPr>
          <w:rFonts w:ascii="Arial" w:hAnsi="Arial" w:cs="Arial"/>
          <w:b/>
          <w:bCs/>
          <w:sz w:val="24"/>
          <w:szCs w:val="24"/>
        </w:rPr>
        <w:t>6.15</w:t>
      </w:r>
    </w:p>
    <w:p w14:paraId="2CAE0E4A" w14:textId="77777777" w:rsidR="003B2681" w:rsidRPr="000A1E8E" w:rsidRDefault="003B2681" w:rsidP="003B2681">
      <w:pPr>
        <w:numPr>
          <w:ilvl w:val="0"/>
          <w:numId w:val="12"/>
        </w:numPr>
        <w:spacing w:line="360" w:lineRule="auto"/>
        <w:rPr>
          <w:rFonts w:ascii="Arial" w:hAnsi="Arial" w:cs="Arial"/>
          <w:b/>
          <w:bCs/>
          <w:sz w:val="24"/>
          <w:szCs w:val="24"/>
        </w:rPr>
      </w:pPr>
      <w:r w:rsidRPr="000A1E8E">
        <w:rPr>
          <w:rFonts w:ascii="Arial" w:hAnsi="Arial" w:cs="Arial"/>
          <w:b/>
          <w:bCs/>
          <w:sz w:val="24"/>
          <w:szCs w:val="24"/>
        </w:rPr>
        <w:t>4.97</w:t>
      </w:r>
    </w:p>
    <w:p w14:paraId="2C66F989"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C</m:t>
              </m:r>
            </m:sub>
          </m:sSub>
          <m:r>
            <m:rPr>
              <m:sty m:val="bi"/>
            </m:rPr>
            <w:rPr>
              <w:rFonts w:ascii="Cambria Math" w:hAnsi="Cambria Math" w:cs="Arial"/>
              <w:sz w:val="24"/>
              <w:szCs w:val="24"/>
            </w:rPr>
            <m:t>=54.99</m:t>
          </m:r>
          <m:r>
            <m:rPr>
              <m:sty m:val="bi"/>
            </m:rPr>
            <w:rPr>
              <w:rFonts w:ascii="Cambria Math" w:hAnsi="Cambria Math" w:cs="Arial"/>
              <w:sz w:val="24"/>
              <w:szCs w:val="24"/>
            </w:rPr>
            <m:t>m</m:t>
          </m:r>
          <m:r>
            <m:rPr>
              <m:sty m:val="bi"/>
            </m:rPr>
            <w:rPr>
              <w:rFonts w:ascii="Cambria Math" w:hAnsi="Cambria Math" w:cs="Arial"/>
              <w:sz w:val="24"/>
              <w:szCs w:val="24"/>
            </w:rPr>
            <w:br/>
          </m:r>
        </m:oMath>
        <m:oMath>
          <m:r>
            <m:rPr>
              <m:sty m:val="bi"/>
            </m:rPr>
            <w:rPr>
              <w:rFonts w:ascii="Cambria Math" w:hAnsi="Cambria Math" w:cs="Arial"/>
              <w:sz w:val="24"/>
              <w:szCs w:val="24"/>
            </w:rPr>
            <m:t>NP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C</m:t>
              </m:r>
            </m:sub>
          </m:sSub>
          <m:r>
            <m:rPr>
              <m:sty m:val="bi"/>
            </m:rPr>
            <w:rPr>
              <w:rFonts w:ascii="Cambria Math" w:hAnsi="Cambria Math" w:cs="Arial"/>
              <w:sz w:val="24"/>
              <w:szCs w:val="24"/>
            </w:rPr>
            <m:t>=54.99-50=+</m:t>
          </m:r>
          <m:r>
            <m:rPr>
              <m:sty m:val="b"/>
            </m:rPr>
            <w:rPr>
              <w:rFonts w:ascii="Cambria Math" w:hAnsi="Cambria Math" w:cs="Arial"/>
              <w:sz w:val="24"/>
              <w:szCs w:val="24"/>
            </w:rPr>
            <m:t>4.99m</m:t>
          </m:r>
          <m:r>
            <m:rPr>
              <m:sty m:val="b"/>
            </m:rPr>
            <w:rPr>
              <w:rFonts w:ascii="Cambria Math" w:hAnsi="Cambria Math" w:cs="Arial"/>
              <w:sz w:val="24"/>
              <w:szCs w:val="24"/>
            </w:rPr>
            <w:br/>
          </m:r>
        </m:oMath>
      </m:oMathPara>
    </w:p>
    <w:p w14:paraId="057FCFA5" w14:textId="77777777" w:rsidR="003B2681" w:rsidRPr="000A1E8E" w:rsidRDefault="003B2681" w:rsidP="003B2681">
      <w:pPr>
        <w:spacing w:line="360" w:lineRule="auto"/>
        <w:rPr>
          <w:rFonts w:ascii="Arial" w:hAnsi="Arial" w:cs="Arial"/>
          <w:b/>
          <w:bCs/>
          <w:sz w:val="24"/>
          <w:szCs w:val="24"/>
        </w:rPr>
      </w:pPr>
    </w:p>
    <w:p w14:paraId="134D9C60"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 xml:space="preserve">NPV Interpretation </w:t>
      </w:r>
    </w:p>
    <w:p w14:paraId="2374C187" w14:textId="77777777" w:rsidR="003B2681" w:rsidRPr="000A1E8E" w:rsidRDefault="003B2681" w:rsidP="003B2681">
      <w:pPr>
        <w:numPr>
          <w:ilvl w:val="0"/>
          <w:numId w:val="13"/>
        </w:numPr>
        <w:spacing w:line="360" w:lineRule="auto"/>
        <w:rPr>
          <w:rFonts w:ascii="Arial" w:hAnsi="Arial" w:cs="Arial"/>
          <w:sz w:val="24"/>
          <w:szCs w:val="24"/>
        </w:rPr>
      </w:pPr>
      <w:r w:rsidRPr="000A1E8E">
        <w:rPr>
          <w:rFonts w:ascii="Arial" w:hAnsi="Arial" w:cs="Arial"/>
          <w:sz w:val="24"/>
          <w:szCs w:val="24"/>
        </w:rPr>
        <w:t>Projects A (+0.25m) and C (+4.99m) create positive shareholder value.</w:t>
      </w:r>
    </w:p>
    <w:p w14:paraId="513129CA" w14:textId="77777777" w:rsidR="003B2681" w:rsidRDefault="003B2681" w:rsidP="003B2681">
      <w:pPr>
        <w:numPr>
          <w:ilvl w:val="0"/>
          <w:numId w:val="13"/>
        </w:numPr>
        <w:spacing w:line="360" w:lineRule="auto"/>
        <w:rPr>
          <w:rFonts w:ascii="Arial" w:hAnsi="Arial" w:cs="Arial"/>
          <w:sz w:val="24"/>
          <w:szCs w:val="24"/>
        </w:rPr>
      </w:pPr>
      <w:r w:rsidRPr="000A1E8E">
        <w:rPr>
          <w:rFonts w:ascii="Arial" w:hAnsi="Arial" w:cs="Arial"/>
          <w:sz w:val="24"/>
          <w:szCs w:val="24"/>
        </w:rPr>
        <w:t>C has by far the highest NPV, suggesting it provides the largest contribution to firm value in absolute terms.</w:t>
      </w:r>
    </w:p>
    <w:p w14:paraId="661D0ABD" w14:textId="77777777" w:rsidR="003B2681" w:rsidRPr="00826458" w:rsidRDefault="003B2681" w:rsidP="003B2681">
      <w:pPr>
        <w:numPr>
          <w:ilvl w:val="0"/>
          <w:numId w:val="13"/>
        </w:numPr>
        <w:spacing w:line="360" w:lineRule="auto"/>
        <w:rPr>
          <w:rFonts w:ascii="Arial" w:hAnsi="Arial" w:cs="Arial"/>
          <w:sz w:val="24"/>
          <w:szCs w:val="24"/>
        </w:rPr>
      </w:pPr>
      <w:r w:rsidRPr="00826458">
        <w:rPr>
          <w:rFonts w:ascii="Arial" w:hAnsi="Arial" w:cs="Arial"/>
          <w:sz w:val="24"/>
          <w:szCs w:val="24"/>
        </w:rPr>
        <w:t xml:space="preserve">Project B generates a negative NPV, which implies that it would kill values and this should not be </w:t>
      </w:r>
      <w:proofErr w:type="gramStart"/>
      <w:r w:rsidRPr="00826458">
        <w:rPr>
          <w:rFonts w:ascii="Arial" w:hAnsi="Arial" w:cs="Arial"/>
          <w:sz w:val="24"/>
          <w:szCs w:val="24"/>
        </w:rPr>
        <w:t>taken into account</w:t>
      </w:r>
      <w:proofErr w:type="gramEnd"/>
      <w:r w:rsidRPr="00826458">
        <w:rPr>
          <w:rFonts w:ascii="Arial" w:hAnsi="Arial" w:cs="Arial"/>
          <w:sz w:val="24"/>
          <w:szCs w:val="24"/>
        </w:rPr>
        <w:t xml:space="preserve"> in the normal business environment.</w:t>
      </w:r>
    </w:p>
    <w:p w14:paraId="0331E522"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5.4 Internal Rate of Return (IRR)</w:t>
      </w:r>
    </w:p>
    <w:p w14:paraId="2C2FEF1E" w14:textId="77777777" w:rsidR="003B2681" w:rsidRPr="000A1E8E" w:rsidRDefault="003B2681" w:rsidP="003B2681">
      <w:pPr>
        <w:spacing w:line="360" w:lineRule="auto"/>
        <w:rPr>
          <w:rFonts w:ascii="Arial" w:hAnsi="Arial" w:cs="Arial"/>
          <w:b/>
          <w:bCs/>
          <w:sz w:val="24"/>
          <w:szCs w:val="24"/>
        </w:rPr>
      </w:pPr>
      <w:r w:rsidRPr="00826458">
        <w:rPr>
          <w:rFonts w:ascii="Arial" w:hAnsi="Arial" w:cs="Arial"/>
          <w:sz w:val="24"/>
          <w:szCs w:val="24"/>
        </w:rPr>
        <w:t xml:space="preserve">The discount rate, which makes NPV equal to zero, is IRR. It is the actual rate of return of the project. </w:t>
      </w:r>
      <w:proofErr w:type="gramStart"/>
      <w:r w:rsidRPr="00826458">
        <w:rPr>
          <w:rFonts w:ascii="Arial" w:hAnsi="Arial" w:cs="Arial"/>
          <w:sz w:val="24"/>
          <w:szCs w:val="24"/>
        </w:rPr>
        <w:t>Since,</w:t>
      </w:r>
      <w:proofErr w:type="gramEnd"/>
      <w:r w:rsidRPr="00826458">
        <w:rPr>
          <w:rFonts w:ascii="Arial" w:hAnsi="Arial" w:cs="Arial"/>
          <w:sz w:val="24"/>
          <w:szCs w:val="24"/>
        </w:rPr>
        <w:t xml:space="preserve"> NPV is not computed at all possible rates, two rates are interpolated.</w:t>
      </w:r>
    </w:p>
    <w:p w14:paraId="45F51A5B"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A – IRR Calculation</w:t>
      </w:r>
    </w:p>
    <w:p w14:paraId="6700F856" w14:textId="77777777" w:rsidR="003B2681" w:rsidRPr="000A1E8E" w:rsidRDefault="003B2681" w:rsidP="003B2681">
      <w:pPr>
        <w:numPr>
          <w:ilvl w:val="0"/>
          <w:numId w:val="14"/>
        </w:numPr>
        <w:spacing w:line="360" w:lineRule="auto"/>
        <w:rPr>
          <w:rFonts w:ascii="Arial" w:hAnsi="Arial" w:cs="Arial"/>
          <w:b/>
          <w:bCs/>
          <w:sz w:val="24"/>
          <w:szCs w:val="24"/>
        </w:rPr>
      </w:pPr>
      <w:r w:rsidRPr="000A1E8E">
        <w:rPr>
          <w:rFonts w:ascii="Arial" w:hAnsi="Arial" w:cs="Arial"/>
          <w:b/>
          <w:bCs/>
          <w:sz w:val="24"/>
          <w:szCs w:val="24"/>
        </w:rPr>
        <w:t>NPV at 10% = +0.25m</w:t>
      </w:r>
    </w:p>
    <w:p w14:paraId="2B43EEEF" w14:textId="77777777" w:rsidR="003B2681" w:rsidRPr="000A1E8E" w:rsidRDefault="003B2681" w:rsidP="003B2681">
      <w:pPr>
        <w:numPr>
          <w:ilvl w:val="0"/>
          <w:numId w:val="14"/>
        </w:numPr>
        <w:spacing w:line="360" w:lineRule="auto"/>
        <w:rPr>
          <w:rFonts w:ascii="Arial" w:hAnsi="Arial" w:cs="Arial"/>
          <w:b/>
          <w:bCs/>
          <w:sz w:val="24"/>
          <w:szCs w:val="24"/>
        </w:rPr>
      </w:pPr>
      <w:r w:rsidRPr="000A1E8E">
        <w:rPr>
          <w:rFonts w:ascii="Arial" w:hAnsi="Arial" w:cs="Arial"/>
          <w:b/>
          <w:bCs/>
          <w:sz w:val="24"/>
          <w:szCs w:val="24"/>
        </w:rPr>
        <w:t>NPV at 14% = −1.50m (recalculated using PV factors at 14%)</w:t>
      </w:r>
    </w:p>
    <w:p w14:paraId="68320BAE"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IR</m:t>
          </m:r>
          <m:sSub>
            <m:sSubPr>
              <m:ctrlPr>
                <w:rPr>
                  <w:rFonts w:ascii="Cambria Math" w:hAnsi="Cambria Math" w:cs="Arial"/>
                  <w:b/>
                  <w:bCs/>
                  <w:sz w:val="24"/>
                  <w:szCs w:val="24"/>
                </w:rPr>
              </m:ctrlPr>
            </m:sSubPr>
            <m:e>
              <m:r>
                <m:rPr>
                  <m:sty m:val="bi"/>
                </m:rPr>
                <w:rPr>
                  <w:rFonts w:ascii="Cambria Math" w:hAnsi="Cambria Math" w:cs="Arial"/>
                  <w:sz w:val="24"/>
                  <w:szCs w:val="24"/>
                </w:rPr>
                <m:t>R</m:t>
              </m:r>
            </m:e>
            <m:sub>
              <m:r>
                <m:rPr>
                  <m:sty m:val="bi"/>
                </m:rPr>
                <w:rPr>
                  <w:rFonts w:ascii="Cambria Math" w:hAnsi="Cambria Math" w:cs="Arial"/>
                  <w:sz w:val="24"/>
                  <w:szCs w:val="24"/>
                </w:rPr>
                <m:t>A</m:t>
              </m:r>
            </m:sub>
          </m:sSub>
          <m:r>
            <m:rPr>
              <m:sty m:val="bi"/>
            </m:rPr>
            <w:rPr>
              <w:rFonts w:ascii="Cambria Math" w:hAnsi="Cambria Math" w:cs="Arial"/>
              <w:sz w:val="24"/>
              <w:szCs w:val="24"/>
            </w:rPr>
            <m:t>=10+</m:t>
          </m:r>
          <m:f>
            <m:fPr>
              <m:ctrlPr>
                <w:rPr>
                  <w:rFonts w:ascii="Cambria Math" w:hAnsi="Cambria Math" w:cs="Arial"/>
                  <w:b/>
                  <w:bCs/>
                  <w:sz w:val="24"/>
                  <w:szCs w:val="24"/>
                </w:rPr>
              </m:ctrlPr>
            </m:fPr>
            <m:num>
              <m:r>
                <m:rPr>
                  <m:sty m:val="bi"/>
                </m:rPr>
                <w:rPr>
                  <w:rFonts w:ascii="Cambria Math" w:hAnsi="Cambria Math" w:cs="Arial"/>
                  <w:sz w:val="24"/>
                  <w:szCs w:val="24"/>
                </w:rPr>
                <m:t>0.25</m:t>
              </m:r>
            </m:num>
            <m:den>
              <m:r>
                <m:rPr>
                  <m:sty m:val="bi"/>
                </m:rPr>
                <w:rPr>
                  <w:rFonts w:ascii="Cambria Math" w:hAnsi="Cambria Math" w:cs="Arial"/>
                  <w:sz w:val="24"/>
                  <w:szCs w:val="24"/>
                </w:rPr>
                <m:t>0.25-(-1.50)</m:t>
              </m:r>
            </m:den>
          </m:f>
          <m:r>
            <m:rPr>
              <m:sty m:val="bi"/>
            </m:rPr>
            <w:rPr>
              <w:rFonts w:ascii="Cambria Math" w:hAnsi="Cambria Math" w:cs="Arial"/>
              <w:sz w:val="24"/>
              <w:szCs w:val="24"/>
            </w:rPr>
            <m:t>×(14-10)</m:t>
          </m:r>
          <m:r>
            <m:rPr>
              <m:sty m:val="bi"/>
            </m:rPr>
            <w:rPr>
              <w:rFonts w:ascii="Cambria Math" w:hAnsi="Cambria Math" w:cs="Arial"/>
              <w:sz w:val="24"/>
              <w:szCs w:val="24"/>
            </w:rPr>
            <w:br/>
          </m:r>
        </m:oMath>
        <m:oMath>
          <m:r>
            <m:rPr>
              <m:sty m:val="bi"/>
            </m:rPr>
            <w:rPr>
              <w:rFonts w:ascii="Cambria Math" w:hAnsi="Cambria Math" w:cs="Arial"/>
              <w:sz w:val="24"/>
              <w:szCs w:val="24"/>
            </w:rPr>
            <m:t>=10+</m:t>
          </m:r>
          <m:f>
            <m:fPr>
              <m:ctrlPr>
                <w:rPr>
                  <w:rFonts w:ascii="Cambria Math" w:hAnsi="Cambria Math" w:cs="Arial"/>
                  <w:b/>
                  <w:bCs/>
                  <w:sz w:val="24"/>
                  <w:szCs w:val="24"/>
                </w:rPr>
              </m:ctrlPr>
            </m:fPr>
            <m:num>
              <m:r>
                <m:rPr>
                  <m:sty m:val="bi"/>
                </m:rPr>
                <w:rPr>
                  <w:rFonts w:ascii="Cambria Math" w:hAnsi="Cambria Math" w:cs="Arial"/>
                  <w:sz w:val="24"/>
                  <w:szCs w:val="24"/>
                </w:rPr>
                <m:t>0.25</m:t>
              </m:r>
            </m:num>
            <m:den>
              <m:r>
                <m:rPr>
                  <m:sty m:val="bi"/>
                </m:rPr>
                <w:rPr>
                  <w:rFonts w:ascii="Cambria Math" w:hAnsi="Cambria Math" w:cs="Arial"/>
                  <w:sz w:val="24"/>
                  <w:szCs w:val="24"/>
                </w:rPr>
                <m:t>1.75</m:t>
              </m:r>
            </m:den>
          </m:f>
          <m:r>
            <m:rPr>
              <m:sty m:val="bi"/>
            </m:rPr>
            <w:rPr>
              <w:rFonts w:ascii="Cambria Math" w:hAnsi="Cambria Math" w:cs="Arial"/>
              <w:sz w:val="24"/>
              <w:szCs w:val="24"/>
            </w:rPr>
            <m:t>×4</m:t>
          </m:r>
          <m:r>
            <m:rPr>
              <m:sty m:val="bi"/>
            </m:rPr>
            <w:rPr>
              <w:rFonts w:ascii="Cambria Math" w:hAnsi="Cambria Math" w:cs="Arial"/>
              <w:sz w:val="24"/>
              <w:szCs w:val="24"/>
            </w:rPr>
            <w:br/>
          </m:r>
        </m:oMath>
        <m:oMath>
          <m:r>
            <m:rPr>
              <m:sty m:val="bi"/>
            </m:rPr>
            <w:rPr>
              <w:rFonts w:ascii="Cambria Math" w:hAnsi="Cambria Math" w:cs="Arial"/>
              <w:sz w:val="24"/>
              <w:szCs w:val="24"/>
            </w:rPr>
            <m:t>=10+0.57=</m:t>
          </m:r>
          <m:r>
            <m:rPr>
              <m:sty m:val="b"/>
            </m:rPr>
            <w:rPr>
              <w:rFonts w:ascii="Cambria Math" w:hAnsi="Cambria Math" w:cs="Arial"/>
              <w:sz w:val="24"/>
              <w:szCs w:val="24"/>
            </w:rPr>
            <m:t>10.6%</m:t>
          </m:r>
          <m:r>
            <m:rPr>
              <m:sty m:val="b"/>
            </m:rPr>
            <w:rPr>
              <w:rFonts w:ascii="Cambria Math" w:hAnsi="Cambria Math" w:cs="Arial"/>
              <w:sz w:val="24"/>
              <w:szCs w:val="24"/>
            </w:rPr>
            <w:br/>
          </m:r>
        </m:oMath>
      </m:oMathPara>
    </w:p>
    <w:p w14:paraId="62F70FA4" w14:textId="77777777" w:rsidR="003B2681" w:rsidRPr="000A1E8E" w:rsidRDefault="003B2681" w:rsidP="003B2681">
      <w:pPr>
        <w:spacing w:line="360" w:lineRule="auto"/>
        <w:rPr>
          <w:rFonts w:ascii="Arial" w:hAnsi="Arial" w:cs="Arial"/>
          <w:b/>
          <w:bCs/>
          <w:sz w:val="24"/>
          <w:szCs w:val="24"/>
        </w:rPr>
      </w:pPr>
    </w:p>
    <w:p w14:paraId="3B1FE2F7"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lastRenderedPageBreak/>
        <w:t>Project B – IRR Calculation</w:t>
      </w:r>
    </w:p>
    <w:p w14:paraId="5152F625" w14:textId="77777777" w:rsidR="003B2681" w:rsidRPr="000A1E8E" w:rsidRDefault="003B2681" w:rsidP="003B2681">
      <w:pPr>
        <w:numPr>
          <w:ilvl w:val="0"/>
          <w:numId w:val="15"/>
        </w:numPr>
        <w:spacing w:line="360" w:lineRule="auto"/>
        <w:rPr>
          <w:rFonts w:ascii="Arial" w:hAnsi="Arial" w:cs="Arial"/>
          <w:b/>
          <w:bCs/>
          <w:sz w:val="24"/>
          <w:szCs w:val="24"/>
        </w:rPr>
      </w:pPr>
      <w:r w:rsidRPr="000A1E8E">
        <w:rPr>
          <w:rFonts w:ascii="Arial" w:hAnsi="Arial" w:cs="Arial"/>
          <w:b/>
          <w:bCs/>
          <w:sz w:val="24"/>
          <w:szCs w:val="24"/>
        </w:rPr>
        <w:t>NPV at 8% = +0.50m</w:t>
      </w:r>
    </w:p>
    <w:p w14:paraId="76B9D02A" w14:textId="77777777" w:rsidR="003B2681" w:rsidRPr="000A1E8E" w:rsidRDefault="003B2681" w:rsidP="003B2681">
      <w:pPr>
        <w:numPr>
          <w:ilvl w:val="0"/>
          <w:numId w:val="15"/>
        </w:numPr>
        <w:spacing w:line="360" w:lineRule="auto"/>
        <w:rPr>
          <w:rFonts w:ascii="Arial" w:hAnsi="Arial" w:cs="Arial"/>
          <w:b/>
          <w:bCs/>
          <w:sz w:val="24"/>
          <w:szCs w:val="24"/>
        </w:rPr>
      </w:pPr>
      <w:r w:rsidRPr="000A1E8E">
        <w:rPr>
          <w:rFonts w:ascii="Arial" w:hAnsi="Arial" w:cs="Arial"/>
          <w:b/>
          <w:bCs/>
          <w:sz w:val="24"/>
          <w:szCs w:val="24"/>
        </w:rPr>
        <w:t>NPV at 12% = −2.00m</w:t>
      </w:r>
    </w:p>
    <w:p w14:paraId="5173DC95"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IR</m:t>
          </m:r>
          <m:sSub>
            <m:sSubPr>
              <m:ctrlPr>
                <w:rPr>
                  <w:rFonts w:ascii="Cambria Math" w:hAnsi="Cambria Math" w:cs="Arial"/>
                  <w:b/>
                  <w:bCs/>
                  <w:sz w:val="24"/>
                  <w:szCs w:val="24"/>
                </w:rPr>
              </m:ctrlPr>
            </m:sSubPr>
            <m:e>
              <m:r>
                <m:rPr>
                  <m:sty m:val="bi"/>
                </m:rPr>
                <w:rPr>
                  <w:rFonts w:ascii="Cambria Math" w:hAnsi="Cambria Math" w:cs="Arial"/>
                  <w:sz w:val="24"/>
                  <w:szCs w:val="24"/>
                </w:rPr>
                <m:t>R</m:t>
              </m:r>
            </m:e>
            <m:sub>
              <m:r>
                <m:rPr>
                  <m:sty m:val="bi"/>
                </m:rPr>
                <w:rPr>
                  <w:rFonts w:ascii="Cambria Math" w:hAnsi="Cambria Math" w:cs="Arial"/>
                  <w:sz w:val="24"/>
                  <w:szCs w:val="24"/>
                </w:rPr>
                <m:t>B</m:t>
              </m:r>
            </m:sub>
          </m:sSub>
          <m:r>
            <m:rPr>
              <m:sty m:val="bi"/>
            </m:rPr>
            <w:rPr>
              <w:rFonts w:ascii="Cambria Math" w:hAnsi="Cambria Math" w:cs="Arial"/>
              <w:sz w:val="24"/>
              <w:szCs w:val="24"/>
            </w:rPr>
            <m:t>=8+</m:t>
          </m:r>
          <m:f>
            <m:fPr>
              <m:ctrlPr>
                <w:rPr>
                  <w:rFonts w:ascii="Cambria Math" w:hAnsi="Cambria Math" w:cs="Arial"/>
                  <w:b/>
                  <w:bCs/>
                  <w:sz w:val="24"/>
                  <w:szCs w:val="24"/>
                </w:rPr>
              </m:ctrlPr>
            </m:fPr>
            <m:num>
              <m:r>
                <m:rPr>
                  <m:sty m:val="bi"/>
                </m:rPr>
                <w:rPr>
                  <w:rFonts w:ascii="Cambria Math" w:hAnsi="Cambria Math" w:cs="Arial"/>
                  <w:sz w:val="24"/>
                  <w:szCs w:val="24"/>
                </w:rPr>
                <m:t>0.5</m:t>
              </m:r>
            </m:num>
            <m:den>
              <m:r>
                <m:rPr>
                  <m:sty m:val="bi"/>
                </m:rPr>
                <w:rPr>
                  <w:rFonts w:ascii="Cambria Math" w:hAnsi="Cambria Math" w:cs="Arial"/>
                  <w:sz w:val="24"/>
                  <w:szCs w:val="24"/>
                </w:rPr>
                <m:t>0.5-(-2.0)</m:t>
              </m:r>
            </m:den>
          </m:f>
          <m:r>
            <m:rPr>
              <m:sty m:val="bi"/>
            </m:rPr>
            <w:rPr>
              <w:rFonts w:ascii="Cambria Math" w:hAnsi="Cambria Math" w:cs="Arial"/>
              <w:sz w:val="24"/>
              <w:szCs w:val="24"/>
            </w:rPr>
            <m:t>×4</m:t>
          </m:r>
          <m:r>
            <m:rPr>
              <m:sty m:val="bi"/>
            </m:rPr>
            <w:rPr>
              <w:rFonts w:ascii="Cambria Math" w:hAnsi="Cambria Math" w:cs="Arial"/>
              <w:sz w:val="24"/>
              <w:szCs w:val="24"/>
            </w:rPr>
            <w:br/>
          </m:r>
        </m:oMath>
        <m:oMath>
          <m:r>
            <m:rPr>
              <m:sty m:val="bi"/>
            </m:rPr>
            <w:rPr>
              <w:rFonts w:ascii="Cambria Math" w:hAnsi="Cambria Math" w:cs="Arial"/>
              <w:sz w:val="24"/>
              <w:szCs w:val="24"/>
            </w:rPr>
            <m:t>=8+</m:t>
          </m:r>
          <m:f>
            <m:fPr>
              <m:ctrlPr>
                <w:rPr>
                  <w:rFonts w:ascii="Cambria Math" w:hAnsi="Cambria Math" w:cs="Arial"/>
                  <w:b/>
                  <w:bCs/>
                  <w:sz w:val="24"/>
                  <w:szCs w:val="24"/>
                </w:rPr>
              </m:ctrlPr>
            </m:fPr>
            <m:num>
              <m:r>
                <m:rPr>
                  <m:sty m:val="bi"/>
                </m:rPr>
                <w:rPr>
                  <w:rFonts w:ascii="Cambria Math" w:hAnsi="Cambria Math" w:cs="Arial"/>
                  <w:sz w:val="24"/>
                  <w:szCs w:val="24"/>
                </w:rPr>
                <m:t>0.5</m:t>
              </m:r>
            </m:num>
            <m:den>
              <m:r>
                <m:rPr>
                  <m:sty m:val="bi"/>
                </m:rPr>
                <w:rPr>
                  <w:rFonts w:ascii="Cambria Math" w:hAnsi="Cambria Math" w:cs="Arial"/>
                  <w:sz w:val="24"/>
                  <w:szCs w:val="24"/>
                </w:rPr>
                <m:t>2.5</m:t>
              </m:r>
            </m:den>
          </m:f>
          <m:r>
            <m:rPr>
              <m:sty m:val="bi"/>
            </m:rPr>
            <w:rPr>
              <w:rFonts w:ascii="Cambria Math" w:hAnsi="Cambria Math" w:cs="Arial"/>
              <w:sz w:val="24"/>
              <w:szCs w:val="24"/>
            </w:rPr>
            <m:t>×4</m:t>
          </m:r>
          <m:r>
            <m:rPr>
              <m:sty m:val="bi"/>
            </m:rPr>
            <w:rPr>
              <w:rFonts w:ascii="Cambria Math" w:hAnsi="Cambria Math" w:cs="Arial"/>
              <w:sz w:val="24"/>
              <w:szCs w:val="24"/>
            </w:rPr>
            <w:br/>
          </m:r>
        </m:oMath>
        <m:oMath>
          <m:r>
            <m:rPr>
              <m:sty m:val="bi"/>
            </m:rPr>
            <w:rPr>
              <w:rFonts w:ascii="Cambria Math" w:hAnsi="Cambria Math" w:cs="Arial"/>
              <w:sz w:val="24"/>
              <w:szCs w:val="24"/>
            </w:rPr>
            <m:t>=8+0.8=</m:t>
          </m:r>
          <m:r>
            <m:rPr>
              <m:sty m:val="b"/>
            </m:rPr>
            <w:rPr>
              <w:rFonts w:ascii="Cambria Math" w:hAnsi="Cambria Math" w:cs="Arial"/>
              <w:sz w:val="24"/>
              <w:szCs w:val="24"/>
            </w:rPr>
            <m:t>8.8%</m:t>
          </m:r>
          <m:r>
            <m:rPr>
              <m:sty m:val="b"/>
            </m:rPr>
            <w:rPr>
              <w:rFonts w:ascii="Cambria Math" w:hAnsi="Cambria Math" w:cs="Arial"/>
              <w:sz w:val="24"/>
              <w:szCs w:val="24"/>
            </w:rPr>
            <w:br/>
          </m:r>
        </m:oMath>
      </m:oMathPara>
    </w:p>
    <w:p w14:paraId="64E22DBF" w14:textId="77777777" w:rsidR="003B2681" w:rsidRPr="000A1E8E" w:rsidRDefault="003B2681" w:rsidP="003B2681">
      <w:pPr>
        <w:spacing w:line="360" w:lineRule="auto"/>
        <w:rPr>
          <w:rFonts w:ascii="Arial" w:hAnsi="Arial" w:cs="Arial"/>
          <w:b/>
          <w:bCs/>
          <w:sz w:val="24"/>
          <w:szCs w:val="24"/>
        </w:rPr>
      </w:pPr>
    </w:p>
    <w:p w14:paraId="5401EE9F"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Project C – IRR Calculation</w:t>
      </w:r>
    </w:p>
    <w:p w14:paraId="692C3BBA" w14:textId="77777777" w:rsidR="003B2681" w:rsidRPr="000A1E8E" w:rsidRDefault="003B2681" w:rsidP="003B2681">
      <w:pPr>
        <w:numPr>
          <w:ilvl w:val="0"/>
          <w:numId w:val="16"/>
        </w:numPr>
        <w:spacing w:line="360" w:lineRule="auto"/>
        <w:rPr>
          <w:rFonts w:ascii="Arial" w:hAnsi="Arial" w:cs="Arial"/>
          <w:b/>
          <w:bCs/>
          <w:sz w:val="24"/>
          <w:szCs w:val="24"/>
        </w:rPr>
      </w:pPr>
      <w:r w:rsidRPr="000A1E8E">
        <w:rPr>
          <w:rFonts w:ascii="Arial" w:hAnsi="Arial" w:cs="Arial"/>
          <w:b/>
          <w:bCs/>
          <w:sz w:val="24"/>
          <w:szCs w:val="24"/>
        </w:rPr>
        <w:t>NPV at 12% = +1.60m</w:t>
      </w:r>
    </w:p>
    <w:p w14:paraId="60FC32F9" w14:textId="77777777" w:rsidR="003B2681" w:rsidRPr="000A1E8E" w:rsidRDefault="003B2681" w:rsidP="003B2681">
      <w:pPr>
        <w:numPr>
          <w:ilvl w:val="0"/>
          <w:numId w:val="16"/>
        </w:numPr>
        <w:spacing w:line="360" w:lineRule="auto"/>
        <w:rPr>
          <w:rFonts w:ascii="Arial" w:hAnsi="Arial" w:cs="Arial"/>
          <w:b/>
          <w:bCs/>
          <w:sz w:val="24"/>
          <w:szCs w:val="24"/>
        </w:rPr>
      </w:pPr>
      <w:r w:rsidRPr="000A1E8E">
        <w:rPr>
          <w:rFonts w:ascii="Arial" w:hAnsi="Arial" w:cs="Arial"/>
          <w:b/>
          <w:bCs/>
          <w:sz w:val="24"/>
          <w:szCs w:val="24"/>
        </w:rPr>
        <w:t>NPV at 16% = −1.00m</w:t>
      </w:r>
    </w:p>
    <w:p w14:paraId="463C6395" w14:textId="77777777" w:rsidR="003B2681" w:rsidRPr="000A1E8E"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IR</m:t>
          </m:r>
          <m:sSub>
            <m:sSubPr>
              <m:ctrlPr>
                <w:rPr>
                  <w:rFonts w:ascii="Cambria Math" w:hAnsi="Cambria Math" w:cs="Arial"/>
                  <w:b/>
                  <w:bCs/>
                  <w:sz w:val="24"/>
                  <w:szCs w:val="24"/>
                </w:rPr>
              </m:ctrlPr>
            </m:sSubPr>
            <m:e>
              <m:r>
                <m:rPr>
                  <m:sty m:val="bi"/>
                </m:rPr>
                <w:rPr>
                  <w:rFonts w:ascii="Cambria Math" w:hAnsi="Cambria Math" w:cs="Arial"/>
                  <w:sz w:val="24"/>
                  <w:szCs w:val="24"/>
                </w:rPr>
                <m:t>R</m:t>
              </m:r>
            </m:e>
            <m:sub>
              <m:r>
                <m:rPr>
                  <m:sty m:val="bi"/>
                </m:rPr>
                <w:rPr>
                  <w:rFonts w:ascii="Cambria Math" w:hAnsi="Cambria Math" w:cs="Arial"/>
                  <w:sz w:val="24"/>
                  <w:szCs w:val="24"/>
                </w:rPr>
                <m:t>C</m:t>
              </m:r>
            </m:sub>
          </m:sSub>
          <m:r>
            <m:rPr>
              <m:sty m:val="bi"/>
            </m:rPr>
            <w:rPr>
              <w:rFonts w:ascii="Cambria Math" w:hAnsi="Cambria Math" w:cs="Arial"/>
              <w:sz w:val="24"/>
              <w:szCs w:val="24"/>
            </w:rPr>
            <m:t>=12+</m:t>
          </m:r>
          <m:f>
            <m:fPr>
              <m:ctrlPr>
                <w:rPr>
                  <w:rFonts w:ascii="Cambria Math" w:hAnsi="Cambria Math" w:cs="Arial"/>
                  <w:b/>
                  <w:bCs/>
                  <w:sz w:val="24"/>
                  <w:szCs w:val="24"/>
                </w:rPr>
              </m:ctrlPr>
            </m:fPr>
            <m:num>
              <m:r>
                <m:rPr>
                  <m:sty m:val="bi"/>
                </m:rPr>
                <w:rPr>
                  <w:rFonts w:ascii="Cambria Math" w:hAnsi="Cambria Math" w:cs="Arial"/>
                  <w:sz w:val="24"/>
                  <w:szCs w:val="24"/>
                </w:rPr>
                <m:t>1.6</m:t>
              </m:r>
            </m:num>
            <m:den>
              <m:r>
                <m:rPr>
                  <m:sty m:val="bi"/>
                </m:rPr>
                <w:rPr>
                  <w:rFonts w:ascii="Cambria Math" w:hAnsi="Cambria Math" w:cs="Arial"/>
                  <w:sz w:val="24"/>
                  <w:szCs w:val="24"/>
                </w:rPr>
                <m:t>1.6-(-1.0)</m:t>
              </m:r>
            </m:den>
          </m:f>
          <m:r>
            <m:rPr>
              <m:sty m:val="bi"/>
            </m:rPr>
            <w:rPr>
              <w:rFonts w:ascii="Cambria Math" w:hAnsi="Cambria Math" w:cs="Arial"/>
              <w:sz w:val="24"/>
              <w:szCs w:val="24"/>
            </w:rPr>
            <m:t>×4</m:t>
          </m:r>
          <m:r>
            <m:rPr>
              <m:sty m:val="bi"/>
            </m:rPr>
            <w:rPr>
              <w:rFonts w:ascii="Cambria Math" w:hAnsi="Cambria Math" w:cs="Arial"/>
              <w:sz w:val="24"/>
              <w:szCs w:val="24"/>
            </w:rPr>
            <w:br/>
          </m:r>
        </m:oMath>
        <m:oMath>
          <m:r>
            <m:rPr>
              <m:sty m:val="bi"/>
            </m:rPr>
            <w:rPr>
              <w:rFonts w:ascii="Cambria Math" w:hAnsi="Cambria Math" w:cs="Arial"/>
              <w:sz w:val="24"/>
              <w:szCs w:val="24"/>
            </w:rPr>
            <m:t>=12+</m:t>
          </m:r>
          <m:f>
            <m:fPr>
              <m:ctrlPr>
                <w:rPr>
                  <w:rFonts w:ascii="Cambria Math" w:hAnsi="Cambria Math" w:cs="Arial"/>
                  <w:b/>
                  <w:bCs/>
                  <w:sz w:val="24"/>
                  <w:szCs w:val="24"/>
                </w:rPr>
              </m:ctrlPr>
            </m:fPr>
            <m:num>
              <m:r>
                <m:rPr>
                  <m:sty m:val="bi"/>
                </m:rPr>
                <w:rPr>
                  <w:rFonts w:ascii="Cambria Math" w:hAnsi="Cambria Math" w:cs="Arial"/>
                  <w:sz w:val="24"/>
                  <w:szCs w:val="24"/>
                </w:rPr>
                <m:t>1.6</m:t>
              </m:r>
            </m:num>
            <m:den>
              <m:r>
                <m:rPr>
                  <m:sty m:val="bi"/>
                </m:rPr>
                <w:rPr>
                  <w:rFonts w:ascii="Cambria Math" w:hAnsi="Cambria Math" w:cs="Arial"/>
                  <w:sz w:val="24"/>
                  <w:szCs w:val="24"/>
                </w:rPr>
                <m:t>2.6</m:t>
              </m:r>
            </m:den>
          </m:f>
          <m:r>
            <m:rPr>
              <m:sty m:val="bi"/>
            </m:rPr>
            <w:rPr>
              <w:rFonts w:ascii="Cambria Math" w:hAnsi="Cambria Math" w:cs="Arial"/>
              <w:sz w:val="24"/>
              <w:szCs w:val="24"/>
            </w:rPr>
            <m:t>×4</m:t>
          </m:r>
          <m:r>
            <m:rPr>
              <m:sty m:val="bi"/>
            </m:rPr>
            <w:rPr>
              <w:rFonts w:ascii="Cambria Math" w:hAnsi="Cambria Math" w:cs="Arial"/>
              <w:sz w:val="24"/>
              <w:szCs w:val="24"/>
            </w:rPr>
            <w:br/>
          </m:r>
        </m:oMath>
        <m:oMath>
          <m:r>
            <m:rPr>
              <m:sty m:val="bi"/>
            </m:rPr>
            <w:rPr>
              <w:rFonts w:ascii="Cambria Math" w:hAnsi="Cambria Math" w:cs="Arial"/>
              <w:sz w:val="24"/>
              <w:szCs w:val="24"/>
            </w:rPr>
            <m:t>=12+2.46=</m:t>
          </m:r>
          <m:r>
            <m:rPr>
              <m:sty m:val="b"/>
            </m:rPr>
            <w:rPr>
              <w:rFonts w:ascii="Cambria Math" w:hAnsi="Cambria Math" w:cs="Arial"/>
              <w:sz w:val="24"/>
              <w:szCs w:val="24"/>
            </w:rPr>
            <m:t>14.46%</m:t>
          </m:r>
          <m:r>
            <m:rPr>
              <m:sty m:val="b"/>
            </m:rPr>
            <w:rPr>
              <w:rFonts w:ascii="Cambria Math" w:hAnsi="Cambria Math" w:cs="Arial"/>
              <w:sz w:val="24"/>
              <w:szCs w:val="24"/>
            </w:rPr>
            <w:br/>
          </m:r>
        </m:oMath>
      </m:oMathPara>
    </w:p>
    <w:p w14:paraId="15C51EE7" w14:textId="77777777" w:rsidR="003B2681" w:rsidRPr="000A1E8E" w:rsidRDefault="003B2681" w:rsidP="003B2681">
      <w:pPr>
        <w:spacing w:line="360" w:lineRule="auto"/>
        <w:rPr>
          <w:rFonts w:ascii="Arial" w:hAnsi="Arial" w:cs="Arial"/>
          <w:b/>
          <w:bCs/>
          <w:sz w:val="24"/>
          <w:szCs w:val="24"/>
        </w:rPr>
      </w:pPr>
    </w:p>
    <w:p w14:paraId="463F3A3E" w14:textId="77777777" w:rsidR="003B2681" w:rsidRPr="000A1E8E" w:rsidRDefault="003B2681" w:rsidP="003B2681">
      <w:pPr>
        <w:spacing w:line="360" w:lineRule="auto"/>
        <w:rPr>
          <w:rFonts w:ascii="Arial" w:hAnsi="Arial" w:cs="Arial"/>
          <w:b/>
          <w:bCs/>
          <w:sz w:val="24"/>
          <w:szCs w:val="24"/>
        </w:rPr>
      </w:pPr>
      <w:r w:rsidRPr="000A1E8E">
        <w:rPr>
          <w:rFonts w:ascii="Arial" w:hAnsi="Arial" w:cs="Arial"/>
          <w:b/>
          <w:bCs/>
          <w:sz w:val="24"/>
          <w:szCs w:val="24"/>
        </w:rPr>
        <w:t xml:space="preserve">IRR Interpretation </w:t>
      </w:r>
    </w:p>
    <w:p w14:paraId="02AA2A74" w14:textId="77777777" w:rsidR="003B2681" w:rsidRDefault="003B2681" w:rsidP="003B2681">
      <w:pPr>
        <w:numPr>
          <w:ilvl w:val="0"/>
          <w:numId w:val="17"/>
        </w:numPr>
        <w:spacing w:line="360" w:lineRule="auto"/>
        <w:rPr>
          <w:rFonts w:ascii="Arial" w:hAnsi="Arial" w:cs="Arial"/>
          <w:sz w:val="24"/>
          <w:szCs w:val="24"/>
        </w:rPr>
      </w:pPr>
      <w:r w:rsidRPr="00826458">
        <w:rPr>
          <w:rFonts w:ascii="Arial" w:hAnsi="Arial" w:cs="Arial"/>
          <w:sz w:val="24"/>
          <w:szCs w:val="24"/>
        </w:rPr>
        <w:t>Project C is with the highest IRR (14.46%) which is way higher than the 10% hurdle rate of GE.</w:t>
      </w:r>
    </w:p>
    <w:p w14:paraId="552B5405" w14:textId="77777777" w:rsidR="003B2681" w:rsidRPr="000A1E8E" w:rsidRDefault="003B2681" w:rsidP="003B2681">
      <w:pPr>
        <w:numPr>
          <w:ilvl w:val="0"/>
          <w:numId w:val="17"/>
        </w:numPr>
        <w:spacing w:line="360" w:lineRule="auto"/>
        <w:rPr>
          <w:rFonts w:ascii="Arial" w:hAnsi="Arial" w:cs="Arial"/>
          <w:sz w:val="24"/>
          <w:szCs w:val="24"/>
        </w:rPr>
      </w:pPr>
      <w:r w:rsidRPr="000A1E8E">
        <w:rPr>
          <w:rFonts w:ascii="Arial" w:hAnsi="Arial" w:cs="Arial"/>
          <w:sz w:val="24"/>
          <w:szCs w:val="24"/>
        </w:rPr>
        <w:t>Project A (10.6%) barely meets the hurdle rate.</w:t>
      </w:r>
    </w:p>
    <w:p w14:paraId="7A432047" w14:textId="77777777" w:rsidR="003B2681" w:rsidRPr="000A1E8E" w:rsidRDefault="003B2681" w:rsidP="003B2681">
      <w:pPr>
        <w:numPr>
          <w:ilvl w:val="0"/>
          <w:numId w:val="17"/>
        </w:numPr>
        <w:spacing w:line="360" w:lineRule="auto"/>
        <w:rPr>
          <w:rFonts w:ascii="Arial" w:hAnsi="Arial" w:cs="Arial"/>
          <w:sz w:val="24"/>
          <w:szCs w:val="24"/>
        </w:rPr>
      </w:pPr>
      <w:r w:rsidRPr="000A1E8E">
        <w:rPr>
          <w:rFonts w:ascii="Arial" w:hAnsi="Arial" w:cs="Arial"/>
          <w:sz w:val="24"/>
          <w:szCs w:val="24"/>
        </w:rPr>
        <w:t>Project B (8.8%) fails to meet the cost of capital and is financially unsuitable.</w:t>
      </w:r>
    </w:p>
    <w:p w14:paraId="7C3A3A2D" w14:textId="77777777" w:rsidR="003B2681" w:rsidRPr="000A1E8E" w:rsidRDefault="003B2681" w:rsidP="003B2681">
      <w:pPr>
        <w:spacing w:line="360" w:lineRule="auto"/>
        <w:rPr>
          <w:rFonts w:ascii="Arial" w:hAnsi="Arial" w:cs="Arial"/>
          <w:sz w:val="24"/>
          <w:szCs w:val="24"/>
        </w:rPr>
      </w:pPr>
      <w:r w:rsidRPr="000A1E8E">
        <w:rPr>
          <w:rFonts w:ascii="Arial" w:hAnsi="Arial" w:cs="Arial"/>
          <w:sz w:val="24"/>
          <w:szCs w:val="24"/>
        </w:rPr>
        <w:t>Taken together, IRR strongly supports selecting Project C, followed by A.</w:t>
      </w:r>
    </w:p>
    <w:p w14:paraId="60D6D040"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5.5 Profitability Index (PI)</w:t>
      </w:r>
    </w:p>
    <w:p w14:paraId="2C00037D" w14:textId="56B6FC3D" w:rsidR="003B2681" w:rsidRPr="00037FCD" w:rsidRDefault="003B2681" w:rsidP="003B2681">
      <w:pPr>
        <w:spacing w:line="360" w:lineRule="auto"/>
        <w:rPr>
          <w:rFonts w:ascii="Arial" w:hAnsi="Arial" w:cs="Arial"/>
          <w:sz w:val="24"/>
          <w:szCs w:val="24"/>
        </w:rPr>
      </w:pPr>
      <w:r w:rsidRPr="00826458">
        <w:rPr>
          <w:rFonts w:ascii="Arial" w:hAnsi="Arial" w:cs="Arial"/>
          <w:sz w:val="24"/>
          <w:szCs w:val="24"/>
        </w:rPr>
        <w:lastRenderedPageBreak/>
        <w:t xml:space="preserve">PI is a ratio of the value generated divided by </w:t>
      </w:r>
      <w:r w:rsidR="00222693">
        <w:rPr>
          <w:rFonts w:ascii="Arial" w:hAnsi="Arial" w:cs="Arial"/>
          <w:sz w:val="24"/>
          <w:szCs w:val="24"/>
        </w:rPr>
        <w:t>£</w:t>
      </w:r>
      <w:r w:rsidRPr="00826458">
        <w:rPr>
          <w:rFonts w:ascii="Arial" w:hAnsi="Arial" w:cs="Arial"/>
          <w:sz w:val="24"/>
          <w:szCs w:val="24"/>
        </w:rPr>
        <w:t>1 incurred. It comes in handy especially when capital is under rationing.</w:t>
      </w:r>
      <w:r w:rsidRPr="00BE6B61">
        <w:rPr>
          <w:rFonts w:ascii="Arial" w:hAnsi="Arial" w:cs="Arial"/>
          <w:b/>
          <w:bCs/>
          <w:sz w:val="24"/>
          <w:szCs w:val="24"/>
        </w:rPr>
        <w:br/>
      </w:r>
    </w:p>
    <w:p w14:paraId="17929CE4" w14:textId="77777777" w:rsidR="003B2681" w:rsidRPr="00BE6B61" w:rsidRDefault="003B2681" w:rsidP="003B2681">
      <w:pPr>
        <w:spacing w:line="360" w:lineRule="auto"/>
        <w:jc w:val="center"/>
        <w:rPr>
          <w:rFonts w:ascii="Arial" w:hAnsi="Arial" w:cs="Arial"/>
          <w:sz w:val="24"/>
          <w:szCs w:val="24"/>
        </w:rPr>
      </w:pPr>
      <w:r w:rsidRPr="00037FCD">
        <w:rPr>
          <w:rFonts w:ascii="Arial" w:hAnsi="Arial" w:cs="Arial"/>
          <w:b/>
          <w:bCs/>
          <w:i/>
          <w:iCs/>
          <w:sz w:val="24"/>
          <w:szCs w:val="24"/>
        </w:rPr>
        <w:t>PI</w:t>
      </w:r>
      <w:r>
        <w:rPr>
          <w:rFonts w:ascii="Arial" w:hAnsi="Arial" w:cs="Arial"/>
          <w:b/>
          <w:bCs/>
          <w:i/>
          <w:iCs/>
          <w:sz w:val="24"/>
          <w:szCs w:val="24"/>
        </w:rPr>
        <w:t xml:space="preserve"> </w:t>
      </w:r>
      <w:r>
        <w:rPr>
          <w:rFonts w:ascii="Arial" w:hAnsi="Arial" w:cs="Arial"/>
          <w:sz w:val="24"/>
          <w:szCs w:val="24"/>
        </w:rPr>
        <w:t xml:space="preserve">= </w:t>
      </w:r>
      <m:oMath>
        <m:f>
          <m:fPr>
            <m:ctrlPr>
              <w:rPr>
                <w:rFonts w:ascii="Cambria Math" w:hAnsi="Cambria Math" w:cs="Arial"/>
                <w:b/>
                <w:bCs/>
                <w:sz w:val="32"/>
                <w:szCs w:val="32"/>
              </w:rPr>
            </m:ctrlPr>
          </m:fPr>
          <m:num>
            <m:r>
              <m:rPr>
                <m:sty m:val="bi"/>
              </m:rPr>
              <w:rPr>
                <w:rFonts w:ascii="Cambria Math" w:hAnsi="Cambria Math" w:cs="Arial"/>
                <w:sz w:val="32"/>
                <w:szCs w:val="32"/>
              </w:rPr>
              <m:t>PV of Cash Inflows</m:t>
            </m:r>
          </m:num>
          <m:den>
            <m:r>
              <m:rPr>
                <m:sty m:val="bi"/>
              </m:rPr>
              <w:rPr>
                <w:rFonts w:ascii="Cambria Math" w:hAnsi="Cambria Math" w:cs="Arial"/>
                <w:sz w:val="32"/>
                <w:szCs w:val="32"/>
              </w:rPr>
              <m:t>Initial Investment</m:t>
            </m:r>
          </m:den>
        </m:f>
      </m:oMath>
    </w:p>
    <w:p w14:paraId="6E999F6E" w14:textId="77777777" w:rsidR="003B2681" w:rsidRPr="00BE6B61" w:rsidRDefault="003B2681" w:rsidP="003B2681">
      <w:pPr>
        <w:spacing w:line="360" w:lineRule="auto"/>
        <w:rPr>
          <w:rFonts w:ascii="Arial" w:hAnsi="Arial" w:cs="Arial"/>
          <w:b/>
          <w:bCs/>
          <w:sz w:val="24"/>
          <w:szCs w:val="24"/>
        </w:rPr>
      </w:pPr>
    </w:p>
    <w:p w14:paraId="16863F8A"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Project A</w:t>
      </w:r>
    </w:p>
    <w:p w14:paraId="37405F49" w14:textId="77777777" w:rsidR="003B2681" w:rsidRPr="00BE6B6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I</m:t>
              </m:r>
            </m:e>
            <m:sub>
              <m:r>
                <m:rPr>
                  <m:sty m:val="bi"/>
                </m:rPr>
                <w:rPr>
                  <w:rFonts w:ascii="Cambria Math" w:hAnsi="Cambria Math" w:cs="Arial"/>
                  <w:sz w:val="24"/>
                  <w:szCs w:val="24"/>
                </w:rPr>
                <m:t>A</m:t>
              </m:r>
            </m:sub>
          </m:sSub>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40.25</m:t>
              </m:r>
            </m:num>
            <m:den>
              <m:r>
                <m:rPr>
                  <m:sty m:val="bi"/>
                </m:rPr>
                <w:rPr>
                  <w:rFonts w:ascii="Cambria Math" w:hAnsi="Cambria Math" w:cs="Arial"/>
                  <w:sz w:val="24"/>
                  <w:szCs w:val="24"/>
                </w:rPr>
                <m:t>40</m:t>
              </m:r>
            </m:den>
          </m:f>
          <m:r>
            <m:rPr>
              <m:sty m:val="bi"/>
            </m:rPr>
            <w:rPr>
              <w:rFonts w:ascii="Cambria Math" w:hAnsi="Cambria Math" w:cs="Arial"/>
              <w:sz w:val="24"/>
              <w:szCs w:val="24"/>
            </w:rPr>
            <m:t>=</m:t>
          </m:r>
          <m:r>
            <m:rPr>
              <m:sty m:val="b"/>
            </m:rPr>
            <w:rPr>
              <w:rFonts w:ascii="Cambria Math" w:hAnsi="Cambria Math" w:cs="Arial"/>
              <w:sz w:val="24"/>
              <w:szCs w:val="24"/>
            </w:rPr>
            <m:t>1.01</m:t>
          </m:r>
          <m:r>
            <m:rPr>
              <m:sty m:val="b"/>
            </m:rPr>
            <w:rPr>
              <w:rFonts w:ascii="Cambria Math" w:hAnsi="Cambria Math" w:cs="Arial"/>
              <w:sz w:val="24"/>
              <w:szCs w:val="24"/>
            </w:rPr>
            <w:br/>
          </m:r>
        </m:oMath>
      </m:oMathPara>
    </w:p>
    <w:p w14:paraId="3B94384E"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Project B</w:t>
      </w:r>
    </w:p>
    <w:p w14:paraId="4040D86F" w14:textId="77777777" w:rsidR="003B2681" w:rsidRPr="00BE6B6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I</m:t>
              </m:r>
            </m:e>
            <m:sub>
              <m:r>
                <m:rPr>
                  <m:sty m:val="bi"/>
                </m:rPr>
                <w:rPr>
                  <w:rFonts w:ascii="Cambria Math" w:hAnsi="Cambria Math" w:cs="Arial"/>
                  <w:sz w:val="24"/>
                  <w:szCs w:val="24"/>
                </w:rPr>
                <m:t>B</m:t>
              </m:r>
            </m:sub>
          </m:sSub>
          <m:r>
            <m:rPr>
              <m:sty m:val="bi"/>
            </m:rPr>
            <w:rPr>
              <w:rFonts w:ascii="Cambria Math" w:hAnsi="Cambria Math" w:cs="Arial"/>
              <w:sz w:val="24"/>
              <w:szCs w:val="24"/>
            </w:rPr>
            <m:t>=</m:t>
          </m:r>
          <m:f>
            <m:fPr>
              <m:ctrlPr>
                <w:rPr>
                  <w:rFonts w:ascii="Cambria Math" w:hAnsi="Cambria Math" w:cs="Arial"/>
                  <w:b/>
                  <w:bCs/>
                  <w:i/>
                  <w:sz w:val="24"/>
                  <w:szCs w:val="24"/>
                </w:rPr>
              </m:ctrlPr>
            </m:fPr>
            <m:num>
              <m:r>
                <m:rPr>
                  <m:sty m:val="bi"/>
                </m:rPr>
                <w:rPr>
                  <w:rFonts w:ascii="Cambria Math" w:hAnsi="Cambria Math" w:cs="Arial"/>
                  <w:sz w:val="24"/>
                  <w:szCs w:val="24"/>
                </w:rPr>
                <m:t>26.85</m:t>
              </m:r>
            </m:num>
            <m:den>
              <m:r>
                <m:rPr>
                  <m:sty m:val="bi"/>
                </m:rPr>
                <w:rPr>
                  <w:rFonts w:ascii="Cambria Math" w:hAnsi="Cambria Math" w:cs="Arial"/>
                  <w:sz w:val="24"/>
                  <w:szCs w:val="24"/>
                </w:rPr>
                <m:t>30</m:t>
              </m:r>
            </m:den>
          </m:f>
          <m:r>
            <m:rPr>
              <m:sty m:val="bi"/>
            </m:rPr>
            <w:rPr>
              <w:rFonts w:ascii="Cambria Math" w:hAnsi="Cambria Math" w:cs="Arial"/>
              <w:sz w:val="24"/>
              <w:szCs w:val="24"/>
            </w:rPr>
            <m:t>=</m:t>
          </m:r>
          <m:r>
            <m:rPr>
              <m:sty m:val="b"/>
            </m:rPr>
            <w:rPr>
              <w:rFonts w:ascii="Cambria Math" w:hAnsi="Cambria Math" w:cs="Arial"/>
              <w:sz w:val="24"/>
              <w:szCs w:val="24"/>
            </w:rPr>
            <m:t>0.90</m:t>
          </m:r>
          <m:r>
            <m:rPr>
              <m:sty m:val="b"/>
            </m:rPr>
            <w:rPr>
              <w:rFonts w:ascii="Cambria Math" w:hAnsi="Cambria Math" w:cs="Arial"/>
              <w:sz w:val="24"/>
              <w:szCs w:val="24"/>
            </w:rPr>
            <w:br/>
          </m:r>
        </m:oMath>
      </m:oMathPara>
    </w:p>
    <w:p w14:paraId="12BBFAD6"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Project C</w:t>
      </w:r>
    </w:p>
    <w:p w14:paraId="5092956B" w14:textId="77777777" w:rsidR="003B2681" w:rsidRPr="00BE6B6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I</m:t>
              </m:r>
            </m:e>
            <m:sub>
              <m:r>
                <m:rPr>
                  <m:sty m:val="bi"/>
                </m:rPr>
                <w:rPr>
                  <w:rFonts w:ascii="Cambria Math" w:hAnsi="Cambria Math" w:cs="Arial"/>
                  <w:sz w:val="24"/>
                  <w:szCs w:val="24"/>
                </w:rPr>
                <m:t>C</m:t>
              </m:r>
            </m:sub>
          </m:sSub>
          <m:r>
            <m:rPr>
              <m:sty m:val="bi"/>
            </m:rPr>
            <w:rPr>
              <w:rFonts w:ascii="Cambria Math" w:hAnsi="Cambria Math" w:cs="Arial"/>
              <w:sz w:val="24"/>
              <w:szCs w:val="24"/>
            </w:rPr>
            <m:t xml:space="preserve">= </m:t>
          </m:r>
          <m:f>
            <m:fPr>
              <m:ctrlPr>
                <w:rPr>
                  <w:rFonts w:ascii="Cambria Math" w:hAnsi="Cambria Math" w:cs="Arial"/>
                  <w:b/>
                  <w:bCs/>
                  <w:i/>
                  <w:sz w:val="24"/>
                  <w:szCs w:val="24"/>
                </w:rPr>
              </m:ctrlPr>
            </m:fPr>
            <m:num>
              <m:r>
                <m:rPr>
                  <m:sty m:val="bi"/>
                </m:rPr>
                <w:rPr>
                  <w:rFonts w:ascii="Cambria Math" w:hAnsi="Cambria Math" w:cs="Arial"/>
                  <w:sz w:val="24"/>
                  <w:szCs w:val="24"/>
                </w:rPr>
                <m:t>54.99</m:t>
              </m:r>
            </m:num>
            <m:den>
              <m:r>
                <m:rPr>
                  <m:sty m:val="bi"/>
                </m:rPr>
                <w:rPr>
                  <w:rFonts w:ascii="Cambria Math" w:hAnsi="Cambria Math" w:cs="Arial"/>
                  <w:sz w:val="24"/>
                  <w:szCs w:val="24"/>
                </w:rPr>
                <m:t>50</m:t>
              </m:r>
            </m:den>
          </m:f>
          <m:r>
            <m:rPr>
              <m:sty m:val="bi"/>
            </m:rPr>
            <w:rPr>
              <w:rFonts w:ascii="Cambria Math" w:hAnsi="Cambria Math" w:cs="Arial"/>
              <w:sz w:val="24"/>
              <w:szCs w:val="24"/>
            </w:rPr>
            <m:t>=</m:t>
          </m:r>
          <m:r>
            <m:rPr>
              <m:sty m:val="b"/>
            </m:rPr>
            <w:rPr>
              <w:rFonts w:ascii="Cambria Math" w:hAnsi="Cambria Math" w:cs="Arial"/>
              <w:sz w:val="24"/>
              <w:szCs w:val="24"/>
            </w:rPr>
            <m:t>1.10</m:t>
          </m:r>
          <m:r>
            <m:rPr>
              <m:sty m:val="b"/>
            </m:rPr>
            <w:rPr>
              <w:rFonts w:ascii="Cambria Math" w:hAnsi="Cambria Math" w:cs="Arial"/>
              <w:sz w:val="24"/>
              <w:szCs w:val="24"/>
            </w:rPr>
            <w:br/>
          </m:r>
        </m:oMath>
      </m:oMathPara>
    </w:p>
    <w:p w14:paraId="227B141F" w14:textId="77777777" w:rsidR="003B2681" w:rsidRPr="00BE6B61" w:rsidRDefault="003B2681" w:rsidP="003B2681">
      <w:pPr>
        <w:spacing w:line="360" w:lineRule="auto"/>
        <w:rPr>
          <w:rFonts w:ascii="Arial" w:hAnsi="Arial" w:cs="Arial"/>
          <w:b/>
          <w:bCs/>
          <w:sz w:val="24"/>
          <w:szCs w:val="24"/>
        </w:rPr>
      </w:pPr>
    </w:p>
    <w:p w14:paraId="66BFB277"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PI Interpretation (Descriptive)</w:t>
      </w:r>
    </w:p>
    <w:p w14:paraId="632E6AD3" w14:textId="77777777" w:rsidR="003B2681" w:rsidRPr="00BE6B61" w:rsidRDefault="003B2681" w:rsidP="003B2681">
      <w:pPr>
        <w:numPr>
          <w:ilvl w:val="0"/>
          <w:numId w:val="18"/>
        </w:numPr>
        <w:spacing w:line="360" w:lineRule="auto"/>
        <w:rPr>
          <w:rFonts w:ascii="Arial" w:hAnsi="Arial" w:cs="Arial"/>
          <w:sz w:val="24"/>
          <w:szCs w:val="24"/>
        </w:rPr>
      </w:pPr>
      <w:r w:rsidRPr="00BE6B61">
        <w:rPr>
          <w:rFonts w:ascii="Arial" w:hAnsi="Arial" w:cs="Arial"/>
          <w:sz w:val="24"/>
          <w:szCs w:val="24"/>
        </w:rPr>
        <w:t>C again ranks the highest, generating £1.10 per £1 invested.</w:t>
      </w:r>
    </w:p>
    <w:p w14:paraId="06C51A91" w14:textId="77777777" w:rsidR="003B2681" w:rsidRPr="00BE6B61" w:rsidRDefault="003B2681" w:rsidP="003B2681">
      <w:pPr>
        <w:numPr>
          <w:ilvl w:val="0"/>
          <w:numId w:val="18"/>
        </w:numPr>
        <w:spacing w:line="360" w:lineRule="auto"/>
        <w:rPr>
          <w:rFonts w:ascii="Arial" w:hAnsi="Arial" w:cs="Arial"/>
          <w:sz w:val="24"/>
          <w:szCs w:val="24"/>
        </w:rPr>
      </w:pPr>
      <w:r w:rsidRPr="00BE6B61">
        <w:rPr>
          <w:rFonts w:ascii="Arial" w:hAnsi="Arial" w:cs="Arial"/>
          <w:sz w:val="24"/>
          <w:szCs w:val="24"/>
        </w:rPr>
        <w:t>A is only slightly above the break-even point.</w:t>
      </w:r>
    </w:p>
    <w:p w14:paraId="5298CE18" w14:textId="77777777" w:rsidR="003B2681" w:rsidRPr="00BE6B61" w:rsidRDefault="003B2681" w:rsidP="003B2681">
      <w:pPr>
        <w:numPr>
          <w:ilvl w:val="0"/>
          <w:numId w:val="18"/>
        </w:numPr>
        <w:spacing w:line="360" w:lineRule="auto"/>
        <w:rPr>
          <w:rFonts w:ascii="Arial" w:hAnsi="Arial" w:cs="Arial"/>
          <w:sz w:val="24"/>
          <w:szCs w:val="24"/>
        </w:rPr>
      </w:pPr>
      <w:r w:rsidRPr="00BE6B61">
        <w:rPr>
          <w:rFonts w:ascii="Arial" w:hAnsi="Arial" w:cs="Arial"/>
          <w:sz w:val="24"/>
          <w:szCs w:val="24"/>
        </w:rPr>
        <w:t>B is well below 1.0 → financially unacceptable.</w:t>
      </w:r>
    </w:p>
    <w:p w14:paraId="4B274902" w14:textId="77777777" w:rsidR="003B2681" w:rsidRPr="00EF3D11" w:rsidRDefault="003B2681" w:rsidP="003B2681">
      <w:pPr>
        <w:spacing w:line="360" w:lineRule="auto"/>
        <w:rPr>
          <w:rFonts w:ascii="Arial" w:hAnsi="Arial" w:cs="Arial"/>
          <w:b/>
          <w:bCs/>
          <w:sz w:val="24"/>
          <w:szCs w:val="24"/>
        </w:rPr>
      </w:pPr>
    </w:p>
    <w:p w14:paraId="3D28A6D8"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5.6 Capital Rationing Analysis (Limit £60m)</w:t>
      </w:r>
    </w:p>
    <w:p w14:paraId="5B95937E" w14:textId="77777777" w:rsidR="003B2681" w:rsidRPr="00BE6B61" w:rsidRDefault="003B2681" w:rsidP="003B2681">
      <w:pPr>
        <w:spacing w:line="360" w:lineRule="auto"/>
        <w:rPr>
          <w:rFonts w:ascii="Arial" w:hAnsi="Arial" w:cs="Arial"/>
          <w:sz w:val="24"/>
          <w:szCs w:val="24"/>
        </w:rPr>
      </w:pPr>
      <w:r w:rsidRPr="00BE6B61">
        <w:rPr>
          <w:rFonts w:ascii="Arial" w:hAnsi="Arial" w:cs="Arial"/>
          <w:sz w:val="24"/>
          <w:szCs w:val="24"/>
        </w:rPr>
        <w:t>Possible investment combinations:</w:t>
      </w:r>
    </w:p>
    <w:p w14:paraId="14483F9D" w14:textId="77777777" w:rsidR="003B2681" w:rsidRPr="00BE6B61" w:rsidRDefault="003B2681" w:rsidP="003B2681">
      <w:pPr>
        <w:numPr>
          <w:ilvl w:val="0"/>
          <w:numId w:val="19"/>
        </w:numPr>
        <w:spacing w:line="360" w:lineRule="auto"/>
        <w:rPr>
          <w:rFonts w:ascii="Arial" w:hAnsi="Arial" w:cs="Arial"/>
          <w:sz w:val="24"/>
          <w:szCs w:val="24"/>
        </w:rPr>
      </w:pPr>
      <w:r w:rsidRPr="00BE6B61">
        <w:rPr>
          <w:rFonts w:ascii="Arial" w:hAnsi="Arial" w:cs="Arial"/>
          <w:sz w:val="24"/>
          <w:szCs w:val="24"/>
        </w:rPr>
        <w:t>A (40) + B (30) = 70</w:t>
      </w:r>
    </w:p>
    <w:p w14:paraId="32BD20A9" w14:textId="77777777" w:rsidR="003B2681" w:rsidRPr="00BE6B61" w:rsidRDefault="003B2681" w:rsidP="003B2681">
      <w:pPr>
        <w:numPr>
          <w:ilvl w:val="0"/>
          <w:numId w:val="19"/>
        </w:numPr>
        <w:spacing w:line="360" w:lineRule="auto"/>
        <w:rPr>
          <w:rFonts w:ascii="Arial" w:hAnsi="Arial" w:cs="Arial"/>
          <w:sz w:val="24"/>
          <w:szCs w:val="24"/>
        </w:rPr>
      </w:pPr>
      <w:r w:rsidRPr="00BE6B61">
        <w:rPr>
          <w:rFonts w:ascii="Arial" w:hAnsi="Arial" w:cs="Arial"/>
          <w:sz w:val="24"/>
          <w:szCs w:val="24"/>
        </w:rPr>
        <w:t xml:space="preserve">A (40) + C (50) = 90 </w:t>
      </w:r>
    </w:p>
    <w:p w14:paraId="1C9AB6D5" w14:textId="77777777" w:rsidR="003B2681" w:rsidRPr="00BE6B61" w:rsidRDefault="003B2681" w:rsidP="003B2681">
      <w:pPr>
        <w:numPr>
          <w:ilvl w:val="0"/>
          <w:numId w:val="19"/>
        </w:numPr>
        <w:spacing w:line="360" w:lineRule="auto"/>
        <w:rPr>
          <w:rFonts w:ascii="Arial" w:hAnsi="Arial" w:cs="Arial"/>
          <w:sz w:val="24"/>
          <w:szCs w:val="24"/>
        </w:rPr>
      </w:pPr>
      <w:r w:rsidRPr="00BE6B61">
        <w:rPr>
          <w:rFonts w:ascii="Arial" w:hAnsi="Arial" w:cs="Arial"/>
          <w:sz w:val="24"/>
          <w:szCs w:val="24"/>
        </w:rPr>
        <w:lastRenderedPageBreak/>
        <w:t xml:space="preserve">B (30) + C (50) = 80 </w:t>
      </w:r>
    </w:p>
    <w:p w14:paraId="7664CF22" w14:textId="77777777" w:rsidR="003B2681" w:rsidRPr="00BE6B61" w:rsidRDefault="003B2681" w:rsidP="003B2681">
      <w:pPr>
        <w:spacing w:line="360" w:lineRule="auto"/>
        <w:rPr>
          <w:rFonts w:ascii="Arial" w:hAnsi="Arial" w:cs="Arial"/>
          <w:sz w:val="24"/>
          <w:szCs w:val="24"/>
        </w:rPr>
      </w:pPr>
      <w:r w:rsidRPr="00BE6B61">
        <w:rPr>
          <w:rFonts w:ascii="Arial" w:hAnsi="Arial" w:cs="Arial"/>
          <w:sz w:val="24"/>
          <w:szCs w:val="24"/>
        </w:rPr>
        <w:t>Thus, the feasible options are:</w:t>
      </w:r>
    </w:p>
    <w:p w14:paraId="146B4FAE" w14:textId="77777777" w:rsidR="003B2681" w:rsidRPr="00BE6B61" w:rsidRDefault="003B2681" w:rsidP="003B2681">
      <w:pPr>
        <w:numPr>
          <w:ilvl w:val="0"/>
          <w:numId w:val="20"/>
        </w:numPr>
        <w:spacing w:line="360" w:lineRule="auto"/>
        <w:rPr>
          <w:rFonts w:ascii="Arial" w:hAnsi="Arial" w:cs="Arial"/>
          <w:sz w:val="24"/>
          <w:szCs w:val="24"/>
        </w:rPr>
      </w:pPr>
      <w:r w:rsidRPr="00BE6B61">
        <w:rPr>
          <w:rFonts w:ascii="Arial" w:hAnsi="Arial" w:cs="Arial"/>
          <w:sz w:val="24"/>
          <w:szCs w:val="24"/>
        </w:rPr>
        <w:t>Invest in Project A alone (£40m)</w:t>
      </w:r>
    </w:p>
    <w:p w14:paraId="73DC714B" w14:textId="3E1E4389" w:rsidR="003B2681" w:rsidRPr="00826458" w:rsidRDefault="003B2681" w:rsidP="003B2681">
      <w:pPr>
        <w:pStyle w:val="ListParagraph"/>
        <w:numPr>
          <w:ilvl w:val="0"/>
          <w:numId w:val="20"/>
        </w:numPr>
        <w:spacing w:line="360" w:lineRule="auto"/>
        <w:rPr>
          <w:rFonts w:ascii="Arial" w:hAnsi="Arial" w:cs="Arial"/>
          <w:b/>
          <w:bCs/>
          <w:sz w:val="24"/>
          <w:szCs w:val="24"/>
        </w:rPr>
      </w:pPr>
      <w:r w:rsidRPr="00826458">
        <w:rPr>
          <w:rFonts w:ascii="Arial" w:hAnsi="Arial" w:cs="Arial"/>
          <w:sz w:val="24"/>
          <w:szCs w:val="24"/>
        </w:rPr>
        <w:t>Invest in A (</w:t>
      </w:r>
      <w:r w:rsidR="00222693">
        <w:rPr>
          <w:rFonts w:ascii="Arial" w:hAnsi="Arial" w:cs="Arial"/>
          <w:sz w:val="24"/>
          <w:szCs w:val="24"/>
        </w:rPr>
        <w:t>£</w:t>
      </w:r>
      <w:r w:rsidRPr="00826458">
        <w:rPr>
          <w:rFonts w:ascii="Arial" w:hAnsi="Arial" w:cs="Arial"/>
          <w:sz w:val="24"/>
          <w:szCs w:val="24"/>
        </w:rPr>
        <w:t>40m) + reduced version of B (</w:t>
      </w:r>
      <w:r w:rsidR="00222693">
        <w:rPr>
          <w:rFonts w:ascii="Arial" w:hAnsi="Arial" w:cs="Arial"/>
          <w:sz w:val="24"/>
          <w:szCs w:val="24"/>
        </w:rPr>
        <w:t>£</w:t>
      </w:r>
      <w:r w:rsidRPr="00826458">
        <w:rPr>
          <w:rFonts w:ascii="Arial" w:hAnsi="Arial" w:cs="Arial"/>
          <w:sz w:val="24"/>
          <w:szCs w:val="24"/>
        </w:rPr>
        <w:t>20m)</w:t>
      </w:r>
    </w:p>
    <w:p w14:paraId="6AF33517"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Scaled-Down B Calculation</w:t>
      </w:r>
    </w:p>
    <w:p w14:paraId="0F48B476"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Scaling factor:</w:t>
      </w:r>
    </w:p>
    <w:p w14:paraId="733FC524" w14:textId="77777777" w:rsidR="003B2681" w:rsidRPr="00BE6B61" w:rsidRDefault="003B2681" w:rsidP="003B2681">
      <w:pPr>
        <w:spacing w:line="360" w:lineRule="auto"/>
        <w:rPr>
          <w:rFonts w:ascii="Arial" w:hAnsi="Arial" w:cs="Arial"/>
          <w:b/>
          <w:bCs/>
          <w:sz w:val="24"/>
          <w:szCs w:val="24"/>
        </w:rPr>
      </w:pPr>
      <m:oMathPara>
        <m:oMath>
          <m:f>
            <m:fPr>
              <m:ctrlPr>
                <w:rPr>
                  <w:rFonts w:ascii="Cambria Math" w:hAnsi="Cambria Math" w:cs="Arial"/>
                  <w:b/>
                  <w:bCs/>
                  <w:sz w:val="24"/>
                  <w:szCs w:val="24"/>
                </w:rPr>
              </m:ctrlPr>
            </m:fPr>
            <m:num>
              <m:r>
                <m:rPr>
                  <m:sty m:val="bi"/>
                </m:rPr>
                <w:rPr>
                  <w:rFonts w:ascii="Cambria Math" w:hAnsi="Cambria Math" w:cs="Arial"/>
                  <w:sz w:val="24"/>
                  <w:szCs w:val="24"/>
                </w:rPr>
                <m:t>20</m:t>
              </m:r>
            </m:num>
            <m:den>
              <m:r>
                <m:rPr>
                  <m:sty m:val="bi"/>
                </m:rPr>
                <w:rPr>
                  <w:rFonts w:ascii="Cambria Math" w:hAnsi="Cambria Math" w:cs="Arial"/>
                  <w:sz w:val="24"/>
                  <w:szCs w:val="24"/>
                </w:rPr>
                <m:t>30</m:t>
              </m:r>
            </m:den>
          </m:f>
          <m:r>
            <m:rPr>
              <m:sty m:val="bi"/>
            </m:rPr>
            <w:rPr>
              <w:rFonts w:ascii="Cambria Math" w:hAnsi="Cambria Math" w:cs="Arial"/>
              <w:sz w:val="24"/>
              <w:szCs w:val="24"/>
            </w:rPr>
            <m:t>=0.67</m:t>
          </m:r>
          <m:r>
            <m:rPr>
              <m:sty m:val="bi"/>
            </m:rPr>
            <w:rPr>
              <w:rFonts w:ascii="Cambria Math" w:hAnsi="Cambria Math" w:cs="Arial"/>
              <w:sz w:val="24"/>
              <w:szCs w:val="24"/>
            </w:rPr>
            <w:br/>
          </m:r>
        </m:oMath>
      </m:oMathPara>
    </w:p>
    <w:p w14:paraId="707AF1B5"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Scaled PV:</w:t>
      </w:r>
    </w:p>
    <w:p w14:paraId="3797A1DE" w14:textId="77777777" w:rsidR="003B2681" w:rsidRPr="00BE6B6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m:t>
          </m:r>
          <m:sSub>
            <m:sSubPr>
              <m:ctrlPr>
                <w:rPr>
                  <w:rFonts w:ascii="Cambria Math" w:hAnsi="Cambria Math" w:cs="Arial"/>
                  <w:b/>
                  <w:bCs/>
                  <w:sz w:val="24"/>
                  <w:szCs w:val="24"/>
                </w:rPr>
              </m:ctrlPr>
            </m:sSubPr>
            <m:e>
              <m:r>
                <m:rPr>
                  <m:sty m:val="bi"/>
                </m:rPr>
                <w:rPr>
                  <w:rFonts w:ascii="Cambria Math" w:hAnsi="Cambria Math" w:cs="Arial"/>
                  <w:sz w:val="24"/>
                  <w:szCs w:val="24"/>
                </w:rPr>
                <m:t>V</m:t>
              </m:r>
            </m:e>
            <m:sub>
              <m:r>
                <m:rPr>
                  <m:sty m:val="bi"/>
                </m:rPr>
                <w:rPr>
                  <w:rFonts w:ascii="Cambria Math" w:hAnsi="Cambria Math" w:cs="Arial"/>
                  <w:sz w:val="24"/>
                  <w:szCs w:val="24"/>
                </w:rPr>
                <m:t>Bscaled</m:t>
              </m:r>
            </m:sub>
          </m:sSub>
          <m:r>
            <m:rPr>
              <m:sty m:val="bi"/>
            </m:rPr>
            <w:rPr>
              <w:rFonts w:ascii="Cambria Math" w:hAnsi="Cambria Math" w:cs="Arial"/>
              <w:sz w:val="24"/>
              <w:szCs w:val="24"/>
            </w:rPr>
            <m:t>=26.85×0.67=17.98</m:t>
          </m:r>
          <m:r>
            <m:rPr>
              <m:sty m:val="bi"/>
            </m:rPr>
            <w:rPr>
              <w:rFonts w:ascii="Cambria Math" w:hAnsi="Cambria Math" w:cs="Arial"/>
              <w:sz w:val="24"/>
              <w:szCs w:val="24"/>
            </w:rPr>
            <m:t>m</m:t>
          </m:r>
          <m:r>
            <m:rPr>
              <m:sty m:val="bi"/>
            </m:rPr>
            <w:rPr>
              <w:rFonts w:ascii="Cambria Math" w:hAnsi="Cambria Math" w:cs="Arial"/>
              <w:sz w:val="24"/>
              <w:szCs w:val="24"/>
            </w:rPr>
            <w:br/>
          </m:r>
        </m:oMath>
      </m:oMathPara>
    </w:p>
    <w:p w14:paraId="4F2997E4" w14:textId="77777777" w:rsidR="003B2681" w:rsidRPr="00BE6B61" w:rsidRDefault="003B2681" w:rsidP="003B2681">
      <w:pPr>
        <w:spacing w:line="360" w:lineRule="auto"/>
        <w:rPr>
          <w:rFonts w:ascii="Arial" w:hAnsi="Arial" w:cs="Arial"/>
          <w:b/>
          <w:bCs/>
          <w:sz w:val="24"/>
          <w:szCs w:val="24"/>
        </w:rPr>
      </w:pPr>
      <w:r w:rsidRPr="00BE6B61">
        <w:rPr>
          <w:rFonts w:ascii="Arial" w:hAnsi="Arial" w:cs="Arial"/>
          <w:b/>
          <w:bCs/>
          <w:sz w:val="24"/>
          <w:szCs w:val="24"/>
        </w:rPr>
        <w:t>Scaled PI:</w:t>
      </w:r>
    </w:p>
    <w:p w14:paraId="09B4E24B" w14:textId="77777777" w:rsidR="003B2681" w:rsidRPr="00BE6B61" w:rsidRDefault="003B2681" w:rsidP="003B2681">
      <w:pPr>
        <w:spacing w:line="360" w:lineRule="auto"/>
        <w:rPr>
          <w:rFonts w:ascii="Arial" w:hAnsi="Arial" w:cs="Arial"/>
          <w:b/>
          <w:bCs/>
          <w:sz w:val="24"/>
          <w:szCs w:val="24"/>
        </w:rPr>
      </w:pPr>
      <m:oMathPara>
        <m:oMath>
          <m:r>
            <m:rPr>
              <m:sty m:val="bi"/>
            </m:rPr>
            <w:rPr>
              <w:rFonts w:ascii="Cambria Math" w:hAnsi="Cambria Math" w:cs="Arial"/>
              <w:sz w:val="24"/>
              <w:szCs w:val="24"/>
            </w:rPr>
            <m:t>PI=17.98</m:t>
          </m:r>
          <m:r>
            <m:rPr>
              <m:sty m:val="b"/>
            </m:rPr>
            <w:rPr>
              <w:rFonts w:ascii="Cambria Math" w:hAnsi="Cambria Math" w:cs="Arial"/>
              <w:sz w:val="24"/>
              <w:szCs w:val="24"/>
            </w:rPr>
            <m:t>/</m:t>
          </m:r>
          <m:r>
            <m:rPr>
              <m:sty m:val="bi"/>
            </m:rPr>
            <w:rPr>
              <w:rFonts w:ascii="Cambria Math" w:hAnsi="Cambria Math" w:cs="Arial"/>
              <w:sz w:val="24"/>
              <w:szCs w:val="24"/>
            </w:rPr>
            <m:t>20=0.90</m:t>
          </m:r>
          <m:r>
            <m:rPr>
              <m:sty m:val="bi"/>
            </m:rPr>
            <w:rPr>
              <w:rFonts w:ascii="Cambria Math" w:hAnsi="Cambria Math" w:cs="Arial"/>
              <w:sz w:val="24"/>
              <w:szCs w:val="24"/>
            </w:rPr>
            <w:br/>
          </m:r>
        </m:oMath>
      </m:oMathPara>
    </w:p>
    <w:p w14:paraId="7B5A1043" w14:textId="77777777" w:rsidR="003B2681" w:rsidRPr="00EF3D11" w:rsidRDefault="003B2681" w:rsidP="003B2681">
      <w:pPr>
        <w:spacing w:line="360" w:lineRule="auto"/>
        <w:rPr>
          <w:rFonts w:ascii="Arial" w:hAnsi="Arial" w:cs="Arial"/>
          <w:sz w:val="24"/>
          <w:szCs w:val="24"/>
        </w:rPr>
      </w:pPr>
      <w:r w:rsidRPr="00826458">
        <w:rPr>
          <w:rFonts w:ascii="Arial" w:hAnsi="Arial" w:cs="Arial"/>
          <w:sz w:val="24"/>
          <w:szCs w:val="24"/>
        </w:rPr>
        <w:t>The combination remains within capital limits though it is below 1.0.</w:t>
      </w:r>
    </w:p>
    <w:p w14:paraId="492EE34F"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5.7 Strategic and Ethical Fit</w:t>
      </w:r>
    </w:p>
    <w:p w14:paraId="26D3290A" w14:textId="77777777" w:rsidR="003B2681" w:rsidRPr="00934F9E" w:rsidRDefault="003B2681" w:rsidP="003B2681">
      <w:pPr>
        <w:spacing w:line="360" w:lineRule="auto"/>
        <w:rPr>
          <w:rFonts w:ascii="Arial" w:hAnsi="Arial" w:cs="Arial"/>
          <w:sz w:val="24"/>
          <w:szCs w:val="24"/>
        </w:rPr>
      </w:pPr>
      <w:r w:rsidRPr="00934F9E">
        <w:rPr>
          <w:rFonts w:ascii="Arial" w:hAnsi="Arial" w:cs="Arial"/>
          <w:sz w:val="24"/>
          <w:szCs w:val="24"/>
        </w:rPr>
        <w:t xml:space="preserve">Investment appraisal should not be limited to financial performance but also demonstrate strategic course of GE and its ethical pledges. Project A enhances the fundamental consumer electronics business at GE by extending the existing capabilities and entailing minimum technological diversification. Its steady cash </w:t>
      </w:r>
      <w:proofErr w:type="gramStart"/>
      <w:r w:rsidRPr="00934F9E">
        <w:rPr>
          <w:rFonts w:ascii="Arial" w:hAnsi="Arial" w:cs="Arial"/>
          <w:sz w:val="24"/>
          <w:szCs w:val="24"/>
        </w:rPr>
        <w:t>flows</w:t>
      </w:r>
      <w:proofErr w:type="gramEnd"/>
      <w:r w:rsidRPr="00934F9E">
        <w:rPr>
          <w:rFonts w:ascii="Arial" w:hAnsi="Arial" w:cs="Arial"/>
          <w:sz w:val="24"/>
          <w:szCs w:val="24"/>
        </w:rPr>
        <w:t xml:space="preserve"> and average risk rating give it a good fit to the existing turnaround capacity and priorities of operation of GE. Project B also favors consolidation of the market in the moderately growing segments and helps to restore brand visibility. Project A is complemented by a scaled-down version that increases the capacity to generate and offers </w:t>
      </w:r>
      <w:proofErr w:type="gramStart"/>
      <w:r w:rsidRPr="00934F9E">
        <w:rPr>
          <w:rFonts w:ascii="Arial" w:hAnsi="Arial" w:cs="Arial"/>
          <w:sz w:val="24"/>
          <w:szCs w:val="24"/>
        </w:rPr>
        <w:t>more and more</w:t>
      </w:r>
      <w:proofErr w:type="gramEnd"/>
      <w:r w:rsidRPr="00934F9E">
        <w:rPr>
          <w:rFonts w:ascii="Arial" w:hAnsi="Arial" w:cs="Arial"/>
          <w:sz w:val="24"/>
          <w:szCs w:val="24"/>
        </w:rPr>
        <w:t xml:space="preserve"> stable cash inflows without violating capital restraints of the firm. Project C, on the contrary, is a high-risk, high-reward development of advanced smart technologies. Although this is appealing as far as innovation is concerned, the level of capital intensity and the sensitivity to unstable emerging markets are quite </w:t>
      </w:r>
      <w:r w:rsidRPr="00934F9E">
        <w:rPr>
          <w:rFonts w:ascii="Arial" w:hAnsi="Arial" w:cs="Arial"/>
          <w:sz w:val="24"/>
          <w:szCs w:val="24"/>
        </w:rPr>
        <w:lastRenderedPageBreak/>
        <w:t>risky considering the liquidity limitations that GE is presently facing and the high leverage. Such a venture would put the solvency in the short term at risk at a time when financial discipline is crucial.</w:t>
      </w:r>
    </w:p>
    <w:p w14:paraId="0DDA2839" w14:textId="77777777" w:rsidR="003B2681" w:rsidRDefault="003B2681" w:rsidP="003B2681">
      <w:pPr>
        <w:spacing w:line="360" w:lineRule="auto"/>
        <w:rPr>
          <w:rFonts w:ascii="Arial" w:hAnsi="Arial" w:cs="Arial"/>
          <w:sz w:val="24"/>
          <w:szCs w:val="24"/>
        </w:rPr>
      </w:pPr>
      <w:r w:rsidRPr="00934F9E">
        <w:rPr>
          <w:rFonts w:ascii="Arial" w:hAnsi="Arial" w:cs="Arial"/>
          <w:sz w:val="24"/>
          <w:szCs w:val="24"/>
        </w:rPr>
        <w:t xml:space="preserve">Ethically and </w:t>
      </w:r>
      <w:proofErr w:type="gramStart"/>
      <w:r w:rsidRPr="00934F9E">
        <w:rPr>
          <w:rFonts w:ascii="Arial" w:hAnsi="Arial" w:cs="Arial"/>
          <w:sz w:val="24"/>
          <w:szCs w:val="24"/>
        </w:rPr>
        <w:t>under</w:t>
      </w:r>
      <w:proofErr w:type="gramEnd"/>
      <w:r w:rsidRPr="00934F9E">
        <w:rPr>
          <w:rFonts w:ascii="Arial" w:hAnsi="Arial" w:cs="Arial"/>
          <w:sz w:val="24"/>
          <w:szCs w:val="24"/>
        </w:rPr>
        <w:t xml:space="preserve"> the ESG perspective, GE should focus on investments that will have minimal environmental impact, responsible sourcing and upholding the existing </w:t>
      </w:r>
      <w:proofErr w:type="spellStart"/>
      <w:r w:rsidRPr="00934F9E">
        <w:rPr>
          <w:rFonts w:ascii="Arial" w:hAnsi="Arial" w:cs="Arial"/>
          <w:sz w:val="24"/>
          <w:szCs w:val="24"/>
        </w:rPr>
        <w:t>labour</w:t>
      </w:r>
      <w:proofErr w:type="spellEnd"/>
      <w:r w:rsidRPr="00934F9E">
        <w:rPr>
          <w:rFonts w:ascii="Arial" w:hAnsi="Arial" w:cs="Arial"/>
          <w:sz w:val="24"/>
          <w:szCs w:val="24"/>
        </w:rPr>
        <w:t xml:space="preserve"> models. Projects A and B are in better correspondence with these values because </w:t>
      </w:r>
      <w:proofErr w:type="gramStart"/>
      <w:r w:rsidRPr="00934F9E">
        <w:rPr>
          <w:rFonts w:ascii="Arial" w:hAnsi="Arial" w:cs="Arial"/>
          <w:sz w:val="24"/>
          <w:szCs w:val="24"/>
        </w:rPr>
        <w:t>both of them</w:t>
      </w:r>
      <w:proofErr w:type="gramEnd"/>
      <w:r w:rsidRPr="00934F9E">
        <w:rPr>
          <w:rFonts w:ascii="Arial" w:hAnsi="Arial" w:cs="Arial"/>
          <w:sz w:val="24"/>
          <w:szCs w:val="24"/>
        </w:rPr>
        <w:t xml:space="preserve"> are compatible with sustainable manufacturing practices and need a minimal amount of workforce restructuring, which increases the confidence of stakeholders. Conversely, Project C would necessitate larger scale operational changes and re-structuring of its supply chains, which would present increased ESG and compliance issues at this point.</w:t>
      </w:r>
    </w:p>
    <w:p w14:paraId="0545C00B"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t>5.8 Integration with Financial Strategy</w:t>
      </w:r>
    </w:p>
    <w:p w14:paraId="5FE51559" w14:textId="77777777" w:rsidR="003B2681" w:rsidRPr="00934F9E" w:rsidRDefault="003B2681" w:rsidP="003B2681">
      <w:pPr>
        <w:spacing w:line="360" w:lineRule="auto"/>
        <w:rPr>
          <w:rFonts w:ascii="Arial" w:hAnsi="Arial" w:cs="Arial"/>
          <w:sz w:val="24"/>
          <w:szCs w:val="24"/>
        </w:rPr>
      </w:pPr>
      <w:r w:rsidRPr="00934F9E">
        <w:rPr>
          <w:rFonts w:ascii="Arial" w:hAnsi="Arial" w:cs="Arial"/>
          <w:sz w:val="24"/>
          <w:szCs w:val="24"/>
        </w:rPr>
        <w:t xml:space="preserve">The suggested capital allocation will be in line with the overall financial recovery plan of GE. The company will be able to balance profitability, risk management and operational stability by choosing the projects that will provide high financial returns without compromising liquidity. Short-term liquidity recovery objectives will be met by the initial positive cash inflows of project A, which will reduce pressure on the working capital </w:t>
      </w:r>
      <w:proofErr w:type="gramStart"/>
      <w:r w:rsidRPr="00934F9E">
        <w:rPr>
          <w:rFonts w:ascii="Arial" w:hAnsi="Arial" w:cs="Arial"/>
          <w:sz w:val="24"/>
          <w:szCs w:val="24"/>
        </w:rPr>
        <w:t>and also</w:t>
      </w:r>
      <w:proofErr w:type="gramEnd"/>
      <w:r w:rsidRPr="00934F9E">
        <w:rPr>
          <w:rFonts w:ascii="Arial" w:hAnsi="Arial" w:cs="Arial"/>
          <w:sz w:val="24"/>
          <w:szCs w:val="24"/>
        </w:rPr>
        <w:t xml:space="preserve"> help to increase the debt-servicing capacity. These advantages are indispensable in the </w:t>
      </w:r>
      <w:proofErr w:type="spellStart"/>
      <w:r w:rsidRPr="00934F9E">
        <w:rPr>
          <w:rFonts w:ascii="Arial" w:hAnsi="Arial" w:cs="Arial"/>
          <w:sz w:val="24"/>
          <w:szCs w:val="24"/>
        </w:rPr>
        <w:t>stabilisation</w:t>
      </w:r>
      <w:proofErr w:type="spellEnd"/>
      <w:r w:rsidRPr="00934F9E">
        <w:rPr>
          <w:rFonts w:ascii="Arial" w:hAnsi="Arial" w:cs="Arial"/>
          <w:sz w:val="24"/>
          <w:szCs w:val="24"/>
        </w:rPr>
        <w:t xml:space="preserve"> phase of the </w:t>
      </w:r>
      <w:proofErr w:type="spellStart"/>
      <w:proofErr w:type="gramStart"/>
      <w:r w:rsidRPr="00934F9E">
        <w:rPr>
          <w:rFonts w:ascii="Arial" w:hAnsi="Arial" w:cs="Arial"/>
          <w:sz w:val="24"/>
          <w:szCs w:val="24"/>
        </w:rPr>
        <w:t>turn around</w:t>
      </w:r>
      <w:proofErr w:type="spellEnd"/>
      <w:proofErr w:type="gramEnd"/>
      <w:r w:rsidRPr="00934F9E">
        <w:rPr>
          <w:rFonts w:ascii="Arial" w:hAnsi="Arial" w:cs="Arial"/>
          <w:sz w:val="24"/>
          <w:szCs w:val="24"/>
        </w:rPr>
        <w:t xml:space="preserve"> plan at GE where one of the priorities is the restoration of operational cash flow.</w:t>
      </w:r>
    </w:p>
    <w:p w14:paraId="7270EFBD" w14:textId="06203C1F" w:rsidR="003B2681" w:rsidRDefault="003B2681" w:rsidP="003B2681">
      <w:pPr>
        <w:spacing w:line="360" w:lineRule="auto"/>
        <w:rPr>
          <w:rFonts w:ascii="Arial" w:hAnsi="Arial" w:cs="Arial"/>
          <w:sz w:val="24"/>
          <w:szCs w:val="24"/>
        </w:rPr>
      </w:pPr>
      <w:r w:rsidRPr="00934F9E">
        <w:rPr>
          <w:rFonts w:ascii="Arial" w:hAnsi="Arial" w:cs="Arial"/>
          <w:sz w:val="24"/>
          <w:szCs w:val="24"/>
        </w:rPr>
        <w:t xml:space="preserve">Spending the remaining </w:t>
      </w:r>
      <w:r w:rsidR="00222693">
        <w:rPr>
          <w:rFonts w:ascii="Arial" w:hAnsi="Arial" w:cs="Arial"/>
          <w:sz w:val="24"/>
          <w:szCs w:val="24"/>
        </w:rPr>
        <w:t>£</w:t>
      </w:r>
      <w:r w:rsidRPr="00934F9E">
        <w:rPr>
          <w:rFonts w:ascii="Arial" w:hAnsi="Arial" w:cs="Arial"/>
          <w:sz w:val="24"/>
          <w:szCs w:val="24"/>
        </w:rPr>
        <w:t xml:space="preserve">20 million on a </w:t>
      </w:r>
      <w:proofErr w:type="gramStart"/>
      <w:r w:rsidRPr="00934F9E">
        <w:rPr>
          <w:rFonts w:ascii="Arial" w:hAnsi="Arial" w:cs="Arial"/>
          <w:sz w:val="24"/>
          <w:szCs w:val="24"/>
        </w:rPr>
        <w:t>scaled down</w:t>
      </w:r>
      <w:proofErr w:type="gramEnd"/>
      <w:r w:rsidRPr="00934F9E">
        <w:rPr>
          <w:rFonts w:ascii="Arial" w:hAnsi="Arial" w:cs="Arial"/>
          <w:sz w:val="24"/>
          <w:szCs w:val="24"/>
        </w:rPr>
        <w:t xml:space="preserve"> version of Project B would bring about controlled diversification without straining </w:t>
      </w:r>
      <w:proofErr w:type="gramStart"/>
      <w:r w:rsidRPr="00934F9E">
        <w:rPr>
          <w:rFonts w:ascii="Arial" w:hAnsi="Arial" w:cs="Arial"/>
          <w:sz w:val="24"/>
          <w:szCs w:val="24"/>
        </w:rPr>
        <w:t>the financial</w:t>
      </w:r>
      <w:proofErr w:type="gramEnd"/>
      <w:r w:rsidRPr="00934F9E">
        <w:rPr>
          <w:rFonts w:ascii="Arial" w:hAnsi="Arial" w:cs="Arial"/>
          <w:sz w:val="24"/>
          <w:szCs w:val="24"/>
        </w:rPr>
        <w:t xml:space="preserve"> resources. The strategy helps GE to experiment with new business markets and create incremental revenue bases and minimize exposure to too much risk. The balance sheet will be </w:t>
      </w:r>
      <w:proofErr w:type="gramStart"/>
      <w:r w:rsidRPr="00934F9E">
        <w:rPr>
          <w:rFonts w:ascii="Arial" w:hAnsi="Arial" w:cs="Arial"/>
          <w:sz w:val="24"/>
          <w:szCs w:val="24"/>
        </w:rPr>
        <w:t>strengthened</w:t>
      </w:r>
      <w:proofErr w:type="gramEnd"/>
      <w:r w:rsidRPr="00934F9E">
        <w:rPr>
          <w:rFonts w:ascii="Arial" w:hAnsi="Arial" w:cs="Arial"/>
          <w:sz w:val="24"/>
          <w:szCs w:val="24"/>
        </w:rPr>
        <w:t xml:space="preserve"> and leverage will be reduced in due course so that retained earnings that are generated due to Projects A and B can be diverted to more ambitious innovation-related initiatives like Project C. This step-by-step approach to investment is a strategic and responsive process that takes short-term financial payoff but long-term technological development.</w:t>
      </w:r>
    </w:p>
    <w:p w14:paraId="444254C8" w14:textId="77777777" w:rsidR="000F62B6" w:rsidRDefault="000F62B6" w:rsidP="003B2681">
      <w:pPr>
        <w:spacing w:line="360" w:lineRule="auto"/>
        <w:rPr>
          <w:rFonts w:ascii="Arial" w:hAnsi="Arial" w:cs="Arial"/>
          <w:b/>
          <w:bCs/>
          <w:sz w:val="24"/>
          <w:szCs w:val="24"/>
        </w:rPr>
      </w:pPr>
    </w:p>
    <w:p w14:paraId="0ECFF062" w14:textId="77777777" w:rsidR="000F62B6" w:rsidRDefault="000F62B6" w:rsidP="003B2681">
      <w:pPr>
        <w:spacing w:line="360" w:lineRule="auto"/>
        <w:rPr>
          <w:rFonts w:ascii="Arial" w:hAnsi="Arial" w:cs="Arial"/>
          <w:b/>
          <w:bCs/>
          <w:sz w:val="24"/>
          <w:szCs w:val="24"/>
        </w:rPr>
      </w:pPr>
    </w:p>
    <w:p w14:paraId="71AA21E3" w14:textId="3FBB4842"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lastRenderedPageBreak/>
        <w:t>5.9 Conclusion on Investment Appraisal</w:t>
      </w:r>
    </w:p>
    <w:p w14:paraId="26E307F7" w14:textId="641E2CF3" w:rsidR="003B2681" w:rsidRDefault="003B2681" w:rsidP="003B2681">
      <w:pPr>
        <w:spacing w:line="360" w:lineRule="auto"/>
        <w:rPr>
          <w:rFonts w:ascii="Arial" w:hAnsi="Arial" w:cs="Arial"/>
          <w:sz w:val="24"/>
          <w:szCs w:val="24"/>
        </w:rPr>
      </w:pPr>
      <w:r w:rsidRPr="00934F9E">
        <w:rPr>
          <w:rFonts w:ascii="Arial" w:hAnsi="Arial" w:cs="Arial"/>
          <w:sz w:val="24"/>
          <w:szCs w:val="24"/>
        </w:rPr>
        <w:t xml:space="preserve">According to financial modelling and strategic analysis, Project A is the most appropriate investment to GE in the current financial limits. It has a good mix of payback efficiency, risk-adjusted returns and compatibility with operational strengths of the company. The addition of Project </w:t>
      </w:r>
      <w:proofErr w:type="gramStart"/>
      <w:r w:rsidRPr="00934F9E">
        <w:rPr>
          <w:rFonts w:ascii="Arial" w:hAnsi="Arial" w:cs="Arial"/>
          <w:sz w:val="24"/>
          <w:szCs w:val="24"/>
        </w:rPr>
        <w:t>A with</w:t>
      </w:r>
      <w:proofErr w:type="gramEnd"/>
      <w:r w:rsidRPr="00934F9E">
        <w:rPr>
          <w:rFonts w:ascii="Arial" w:hAnsi="Arial" w:cs="Arial"/>
          <w:sz w:val="24"/>
          <w:szCs w:val="24"/>
        </w:rPr>
        <w:t xml:space="preserve"> a smaller scale of Project </w:t>
      </w:r>
      <w:proofErr w:type="gramStart"/>
      <w:r w:rsidRPr="00934F9E">
        <w:rPr>
          <w:rFonts w:ascii="Arial" w:hAnsi="Arial" w:cs="Arial"/>
          <w:sz w:val="24"/>
          <w:szCs w:val="24"/>
        </w:rPr>
        <w:t>B also</w:t>
      </w:r>
      <w:proofErr w:type="gramEnd"/>
      <w:r w:rsidRPr="00934F9E">
        <w:rPr>
          <w:rFonts w:ascii="Arial" w:hAnsi="Arial" w:cs="Arial"/>
          <w:sz w:val="24"/>
          <w:szCs w:val="24"/>
        </w:rPr>
        <w:t xml:space="preserve"> maximizes the diversification of returns without breaching the </w:t>
      </w:r>
      <w:r w:rsidR="00222693">
        <w:rPr>
          <w:rFonts w:ascii="Arial" w:hAnsi="Arial" w:cs="Arial"/>
          <w:sz w:val="24"/>
          <w:szCs w:val="24"/>
        </w:rPr>
        <w:t>£</w:t>
      </w:r>
      <w:r w:rsidRPr="00934F9E">
        <w:rPr>
          <w:rFonts w:ascii="Arial" w:hAnsi="Arial" w:cs="Arial"/>
          <w:sz w:val="24"/>
          <w:szCs w:val="24"/>
        </w:rPr>
        <w:t xml:space="preserve">60 million capital limit. Despite the good NPV values with Project C, the level of </w:t>
      </w:r>
      <w:proofErr w:type="gramStart"/>
      <w:r w:rsidRPr="00934F9E">
        <w:rPr>
          <w:rFonts w:ascii="Arial" w:hAnsi="Arial" w:cs="Arial"/>
          <w:sz w:val="24"/>
          <w:szCs w:val="24"/>
        </w:rPr>
        <w:t>capital intensive</w:t>
      </w:r>
      <w:proofErr w:type="gramEnd"/>
      <w:r w:rsidRPr="00934F9E">
        <w:rPr>
          <w:rFonts w:ascii="Arial" w:hAnsi="Arial" w:cs="Arial"/>
          <w:sz w:val="24"/>
          <w:szCs w:val="24"/>
        </w:rPr>
        <w:t xml:space="preserve"> approach and uncertainty of the market </w:t>
      </w:r>
      <w:proofErr w:type="gramStart"/>
      <w:r w:rsidRPr="00934F9E">
        <w:rPr>
          <w:rFonts w:ascii="Arial" w:hAnsi="Arial" w:cs="Arial"/>
          <w:sz w:val="24"/>
          <w:szCs w:val="24"/>
        </w:rPr>
        <w:t>makes</w:t>
      </w:r>
      <w:proofErr w:type="gramEnd"/>
      <w:r w:rsidRPr="00934F9E">
        <w:rPr>
          <w:rFonts w:ascii="Arial" w:hAnsi="Arial" w:cs="Arial"/>
          <w:sz w:val="24"/>
          <w:szCs w:val="24"/>
        </w:rPr>
        <w:t xml:space="preserve"> the project not to be implemented at this time. When the finances of GE are stable and the ability to grow through innovation increases, then it needs to be reconsidered.</w:t>
      </w:r>
    </w:p>
    <w:p w14:paraId="6EB54401" w14:textId="77777777" w:rsidR="003B2681" w:rsidRDefault="003B2681" w:rsidP="003B2681">
      <w:pPr>
        <w:spacing w:line="360" w:lineRule="auto"/>
        <w:rPr>
          <w:rFonts w:ascii="Arial" w:hAnsi="Arial" w:cs="Arial"/>
          <w:sz w:val="24"/>
          <w:szCs w:val="24"/>
        </w:rPr>
      </w:pPr>
      <w:r w:rsidRPr="00EF3D11">
        <w:rPr>
          <w:rFonts w:ascii="Arial" w:hAnsi="Arial" w:cs="Arial"/>
          <w:b/>
          <w:bCs/>
          <w:sz w:val="24"/>
          <w:szCs w:val="24"/>
        </w:rPr>
        <w:t>6.0 Recommendations</w:t>
      </w:r>
      <w:r w:rsidRPr="00EF3D11">
        <w:rPr>
          <w:rFonts w:ascii="Arial" w:hAnsi="Arial" w:cs="Arial"/>
          <w:b/>
          <w:bCs/>
          <w:sz w:val="24"/>
          <w:szCs w:val="24"/>
        </w:rPr>
        <w:br/>
      </w:r>
      <w:r w:rsidRPr="00934F9E">
        <w:rPr>
          <w:rFonts w:ascii="Arial" w:hAnsi="Arial" w:cs="Arial"/>
          <w:sz w:val="24"/>
          <w:szCs w:val="24"/>
        </w:rPr>
        <w:t xml:space="preserve">GE needs to concentrate on five major actions to be </w:t>
      </w:r>
      <w:proofErr w:type="gramStart"/>
      <w:r w:rsidRPr="00934F9E">
        <w:rPr>
          <w:rFonts w:ascii="Arial" w:hAnsi="Arial" w:cs="Arial"/>
          <w:sz w:val="24"/>
          <w:szCs w:val="24"/>
        </w:rPr>
        <w:t>in a position</w:t>
      </w:r>
      <w:proofErr w:type="gramEnd"/>
      <w:r w:rsidRPr="00934F9E">
        <w:rPr>
          <w:rFonts w:ascii="Arial" w:hAnsi="Arial" w:cs="Arial"/>
          <w:sz w:val="24"/>
          <w:szCs w:val="24"/>
        </w:rPr>
        <w:t xml:space="preserve"> to restore long-term stability. The first one is to consolidate the working-capital management through minimizing the days outstanding by tightening credit policies, enhancing inventory planning by lean method or demand-driven techniques, and improving cash-flow projections by monthly reporting. Second, re-organize short term debt by refinancing into longer term, liquidating non-core assets and raising equity which will reduce leverage. Third, make investments that generate value with capital limitations by investing in full Project A, and investing, with remaining funds, in a lower-sized Project B though postponing Project C. Fourth, enhance efficiency in operations by automating operations, renegotiated supplier agreements and performance-based budgeting. Lastly, strengthen governance and ESG commitments by enhancing internal controls, sustainability reporting and keeping clear communication with the stakeholders.</w:t>
      </w:r>
    </w:p>
    <w:p w14:paraId="3AFEB9D3" w14:textId="77777777" w:rsidR="003B2681" w:rsidRPr="00EF3D11" w:rsidRDefault="003B2681" w:rsidP="003B2681">
      <w:pPr>
        <w:spacing w:line="360" w:lineRule="auto"/>
        <w:rPr>
          <w:rFonts w:ascii="Arial" w:hAnsi="Arial" w:cs="Arial"/>
          <w:sz w:val="24"/>
          <w:szCs w:val="24"/>
        </w:rPr>
      </w:pPr>
      <w:r w:rsidRPr="00EF3D11">
        <w:rPr>
          <w:rFonts w:ascii="Arial" w:hAnsi="Arial" w:cs="Arial"/>
          <w:b/>
          <w:bCs/>
          <w:sz w:val="24"/>
          <w:szCs w:val="24"/>
        </w:rPr>
        <w:t>7.0 Conclusion</w:t>
      </w:r>
      <w:r w:rsidRPr="00EF3D11">
        <w:rPr>
          <w:rFonts w:ascii="Arial" w:hAnsi="Arial" w:cs="Arial"/>
          <w:sz w:val="24"/>
          <w:szCs w:val="24"/>
        </w:rPr>
        <w:br/>
      </w:r>
      <w:r w:rsidRPr="00934F9E">
        <w:rPr>
          <w:rFonts w:ascii="Arial" w:hAnsi="Arial" w:cs="Arial"/>
          <w:sz w:val="24"/>
          <w:szCs w:val="24"/>
        </w:rPr>
        <w:t xml:space="preserve">The financial analysis of GE shows that the company has some serious weaknesses such as the deteriorating liquidity, working-capital inefficiencies, and accumulated losses. Nevertheless, stable gross margins, positive operating cash flows and strong market position show that recovery can be </w:t>
      </w:r>
      <w:proofErr w:type="gramStart"/>
      <w:r w:rsidRPr="00934F9E">
        <w:rPr>
          <w:rFonts w:ascii="Arial" w:hAnsi="Arial" w:cs="Arial"/>
          <w:sz w:val="24"/>
          <w:szCs w:val="24"/>
        </w:rPr>
        <w:t>done</w:t>
      </w:r>
      <w:proofErr w:type="gramEnd"/>
      <w:r w:rsidRPr="00934F9E">
        <w:rPr>
          <w:rFonts w:ascii="Arial" w:hAnsi="Arial" w:cs="Arial"/>
          <w:sz w:val="24"/>
          <w:szCs w:val="24"/>
        </w:rPr>
        <w:t xml:space="preserve">. Through a strict restructuring </w:t>
      </w:r>
      <w:proofErr w:type="spellStart"/>
      <w:r w:rsidRPr="00934F9E">
        <w:rPr>
          <w:rFonts w:ascii="Arial" w:hAnsi="Arial" w:cs="Arial"/>
          <w:sz w:val="24"/>
          <w:szCs w:val="24"/>
        </w:rPr>
        <w:t>programme</w:t>
      </w:r>
      <w:proofErr w:type="spellEnd"/>
      <w:r w:rsidRPr="00934F9E">
        <w:rPr>
          <w:rFonts w:ascii="Arial" w:hAnsi="Arial" w:cs="Arial"/>
          <w:sz w:val="24"/>
          <w:szCs w:val="24"/>
        </w:rPr>
        <w:t xml:space="preserve"> and enhancing liquidity, better governance and strategic investment GE can still be profitable in three years, regain investor confidence and regain long term competitiveness in the global electronics market.</w:t>
      </w:r>
    </w:p>
    <w:p w14:paraId="592B9703" w14:textId="77777777" w:rsidR="003B2681" w:rsidRPr="00EF3D11" w:rsidRDefault="003B2681" w:rsidP="003B2681">
      <w:pPr>
        <w:spacing w:line="360" w:lineRule="auto"/>
        <w:rPr>
          <w:rFonts w:ascii="Arial" w:hAnsi="Arial" w:cs="Arial"/>
          <w:b/>
          <w:bCs/>
          <w:sz w:val="24"/>
          <w:szCs w:val="24"/>
        </w:rPr>
      </w:pPr>
      <w:r w:rsidRPr="00EF3D11">
        <w:rPr>
          <w:rFonts w:ascii="Arial" w:hAnsi="Arial" w:cs="Arial"/>
          <w:b/>
          <w:bCs/>
          <w:sz w:val="24"/>
          <w:szCs w:val="24"/>
        </w:rPr>
        <w:lastRenderedPageBreak/>
        <w:t>References</w:t>
      </w:r>
    </w:p>
    <w:p w14:paraId="784D333D" w14:textId="77777777" w:rsidR="003B2681" w:rsidRPr="00EF3D11" w:rsidRDefault="003B2681" w:rsidP="003B2681">
      <w:pPr>
        <w:spacing w:line="360" w:lineRule="auto"/>
        <w:rPr>
          <w:rFonts w:ascii="Arial" w:hAnsi="Arial" w:cs="Arial"/>
          <w:sz w:val="24"/>
          <w:szCs w:val="24"/>
        </w:rPr>
      </w:pPr>
      <w:r w:rsidRPr="00EF3D11">
        <w:rPr>
          <w:rFonts w:ascii="Arial" w:hAnsi="Arial" w:cs="Arial"/>
          <w:sz w:val="24"/>
          <w:szCs w:val="24"/>
        </w:rPr>
        <w:t xml:space="preserve">Altman, E.I. &amp; Hotchkiss, E. (2020) </w:t>
      </w:r>
      <w:r w:rsidRPr="00EF3D11">
        <w:rPr>
          <w:rFonts w:ascii="Arial" w:hAnsi="Arial" w:cs="Arial"/>
          <w:i/>
          <w:iCs/>
          <w:sz w:val="24"/>
          <w:szCs w:val="24"/>
        </w:rPr>
        <w:t>Corporate Financial Distress and Bankruptcy</w:t>
      </w:r>
      <w:r w:rsidRPr="00EF3D11">
        <w:rPr>
          <w:rFonts w:ascii="Arial" w:hAnsi="Arial" w:cs="Arial"/>
          <w:sz w:val="24"/>
          <w:szCs w:val="24"/>
        </w:rPr>
        <w:t>. 4th ed. Wiley.</w:t>
      </w:r>
      <w:r w:rsidRPr="00EF3D11">
        <w:rPr>
          <w:rFonts w:ascii="Arial" w:hAnsi="Arial" w:cs="Arial"/>
          <w:sz w:val="24"/>
          <w:szCs w:val="24"/>
        </w:rPr>
        <w:br/>
        <w:t>Bloomberg (</w:t>
      </w:r>
      <w:proofErr w:type="gramStart"/>
      <w:r w:rsidRPr="00EF3D11">
        <w:rPr>
          <w:rFonts w:ascii="Arial" w:hAnsi="Arial" w:cs="Arial"/>
          <w:sz w:val="24"/>
          <w:szCs w:val="24"/>
        </w:rPr>
        <w:t>2024) ‘</w:t>
      </w:r>
      <w:proofErr w:type="gramEnd"/>
      <w:r w:rsidRPr="00EF3D11">
        <w:rPr>
          <w:rFonts w:ascii="Arial" w:hAnsi="Arial" w:cs="Arial"/>
          <w:sz w:val="24"/>
          <w:szCs w:val="24"/>
        </w:rPr>
        <w:t xml:space="preserve">Electronics Sector Profitability Analysis’, </w:t>
      </w:r>
      <w:r w:rsidRPr="00EF3D11">
        <w:rPr>
          <w:rFonts w:ascii="Arial" w:hAnsi="Arial" w:cs="Arial"/>
          <w:i/>
          <w:iCs/>
          <w:sz w:val="24"/>
          <w:szCs w:val="24"/>
        </w:rPr>
        <w:t>Bloomberg Intelligence</w:t>
      </w:r>
      <w:r w:rsidRPr="00EF3D11">
        <w:rPr>
          <w:rFonts w:ascii="Arial" w:hAnsi="Arial" w:cs="Arial"/>
          <w:sz w:val="24"/>
          <w:szCs w:val="24"/>
        </w:rPr>
        <w:t>, June.</w:t>
      </w:r>
      <w:r w:rsidRPr="00EF3D11">
        <w:rPr>
          <w:rFonts w:ascii="Arial" w:hAnsi="Arial" w:cs="Arial"/>
          <w:sz w:val="24"/>
          <w:szCs w:val="24"/>
        </w:rPr>
        <w:br/>
        <w:t>Boston Consulting Group (</w:t>
      </w:r>
      <w:proofErr w:type="gramStart"/>
      <w:r w:rsidRPr="00EF3D11">
        <w:rPr>
          <w:rFonts w:ascii="Arial" w:hAnsi="Arial" w:cs="Arial"/>
          <w:sz w:val="24"/>
          <w:szCs w:val="24"/>
        </w:rPr>
        <w:t>2023) ‘</w:t>
      </w:r>
      <w:proofErr w:type="gramEnd"/>
      <w:r w:rsidRPr="00EF3D11">
        <w:rPr>
          <w:rFonts w:ascii="Arial" w:hAnsi="Arial" w:cs="Arial"/>
          <w:sz w:val="24"/>
          <w:szCs w:val="24"/>
        </w:rPr>
        <w:t xml:space="preserve">Global Consumer Electronics: Resetting for Growth’. </w:t>
      </w:r>
      <w:r w:rsidRPr="00EF3D11">
        <w:rPr>
          <w:rFonts w:ascii="Arial" w:hAnsi="Arial" w:cs="Arial"/>
          <w:i/>
          <w:iCs/>
          <w:sz w:val="24"/>
          <w:szCs w:val="24"/>
        </w:rPr>
        <w:t>BCG Report</w:t>
      </w:r>
      <w:r w:rsidRPr="00EF3D11">
        <w:rPr>
          <w:rFonts w:ascii="Arial" w:hAnsi="Arial" w:cs="Arial"/>
          <w:sz w:val="24"/>
          <w:szCs w:val="24"/>
        </w:rPr>
        <w:t>.</w:t>
      </w:r>
      <w:r w:rsidRPr="00EF3D11">
        <w:rPr>
          <w:rFonts w:ascii="Arial" w:hAnsi="Arial" w:cs="Arial"/>
          <w:sz w:val="24"/>
          <w:szCs w:val="24"/>
        </w:rPr>
        <w:br/>
        <w:t xml:space="preserve">Brigham, E.F. &amp; Ehrhardt, M.C. (2022) </w:t>
      </w:r>
      <w:r w:rsidRPr="00EF3D11">
        <w:rPr>
          <w:rFonts w:ascii="Arial" w:hAnsi="Arial" w:cs="Arial"/>
          <w:i/>
          <w:iCs/>
          <w:sz w:val="24"/>
          <w:szCs w:val="24"/>
        </w:rPr>
        <w:t>Financial Management: Theory and Practice</w:t>
      </w:r>
      <w:r w:rsidRPr="00EF3D11">
        <w:rPr>
          <w:rFonts w:ascii="Arial" w:hAnsi="Arial" w:cs="Arial"/>
          <w:sz w:val="24"/>
          <w:szCs w:val="24"/>
        </w:rPr>
        <w:t>. 17th ed. Cengage.</w:t>
      </w:r>
      <w:r w:rsidRPr="00EF3D11">
        <w:rPr>
          <w:rFonts w:ascii="Arial" w:hAnsi="Arial" w:cs="Arial"/>
          <w:sz w:val="24"/>
          <w:szCs w:val="24"/>
        </w:rPr>
        <w:br/>
        <w:t>Carroll, A.B. (</w:t>
      </w:r>
      <w:proofErr w:type="gramStart"/>
      <w:r w:rsidRPr="00EF3D11">
        <w:rPr>
          <w:rFonts w:ascii="Arial" w:hAnsi="Arial" w:cs="Arial"/>
          <w:sz w:val="24"/>
          <w:szCs w:val="24"/>
        </w:rPr>
        <w:t>2016) ‘</w:t>
      </w:r>
      <w:proofErr w:type="gramEnd"/>
      <w:r w:rsidRPr="00EF3D11">
        <w:rPr>
          <w:rFonts w:ascii="Arial" w:hAnsi="Arial" w:cs="Arial"/>
          <w:sz w:val="24"/>
          <w:szCs w:val="24"/>
        </w:rPr>
        <w:t xml:space="preserve">Corporate Social Responsibility: Evolution of a Definitional Construct’. </w:t>
      </w:r>
      <w:r w:rsidRPr="00EF3D11">
        <w:rPr>
          <w:rFonts w:ascii="Arial" w:hAnsi="Arial" w:cs="Arial"/>
          <w:i/>
          <w:iCs/>
          <w:sz w:val="24"/>
          <w:szCs w:val="24"/>
        </w:rPr>
        <w:t>Business &amp; Society</w:t>
      </w:r>
      <w:r w:rsidRPr="00EF3D11">
        <w:rPr>
          <w:rFonts w:ascii="Arial" w:hAnsi="Arial" w:cs="Arial"/>
          <w:sz w:val="24"/>
          <w:szCs w:val="24"/>
        </w:rPr>
        <w:t>, 38(3), pp.268–295.</w:t>
      </w:r>
      <w:r w:rsidRPr="00EF3D11">
        <w:rPr>
          <w:rFonts w:ascii="Arial" w:hAnsi="Arial" w:cs="Arial"/>
          <w:sz w:val="24"/>
          <w:szCs w:val="24"/>
        </w:rPr>
        <w:br/>
        <w:t xml:space="preserve">Christopher, M. (2016) </w:t>
      </w:r>
      <w:r w:rsidRPr="00EF3D11">
        <w:rPr>
          <w:rFonts w:ascii="Arial" w:hAnsi="Arial" w:cs="Arial"/>
          <w:i/>
          <w:iCs/>
          <w:sz w:val="24"/>
          <w:szCs w:val="24"/>
        </w:rPr>
        <w:t>Logistics and Supply Chain Management</w:t>
      </w:r>
      <w:r w:rsidRPr="00EF3D11">
        <w:rPr>
          <w:rFonts w:ascii="Arial" w:hAnsi="Arial" w:cs="Arial"/>
          <w:sz w:val="24"/>
          <w:szCs w:val="24"/>
        </w:rPr>
        <w:t>. 5th ed. Pearson.</w:t>
      </w:r>
      <w:r w:rsidRPr="00EF3D11">
        <w:rPr>
          <w:rFonts w:ascii="Arial" w:hAnsi="Arial" w:cs="Arial"/>
          <w:sz w:val="24"/>
          <w:szCs w:val="24"/>
        </w:rPr>
        <w:br/>
        <w:t>Corporate Finance Institute (</w:t>
      </w:r>
      <w:proofErr w:type="gramStart"/>
      <w:r w:rsidRPr="00EF3D11">
        <w:rPr>
          <w:rFonts w:ascii="Arial" w:hAnsi="Arial" w:cs="Arial"/>
          <w:sz w:val="24"/>
          <w:szCs w:val="24"/>
        </w:rPr>
        <w:t>2023) ‘</w:t>
      </w:r>
      <w:proofErr w:type="gramEnd"/>
      <w:r w:rsidRPr="00EF3D11">
        <w:rPr>
          <w:rFonts w:ascii="Arial" w:hAnsi="Arial" w:cs="Arial"/>
          <w:sz w:val="24"/>
          <w:szCs w:val="24"/>
        </w:rPr>
        <w:t xml:space="preserve">Altman Z-Score Model Overview’. </w:t>
      </w:r>
      <w:r w:rsidRPr="00EF3D11">
        <w:rPr>
          <w:rFonts w:ascii="Arial" w:hAnsi="Arial" w:cs="Arial"/>
          <w:i/>
          <w:iCs/>
          <w:sz w:val="24"/>
          <w:szCs w:val="24"/>
        </w:rPr>
        <w:t>CFI Online</w:t>
      </w:r>
      <w:r w:rsidRPr="00EF3D11">
        <w:rPr>
          <w:rFonts w:ascii="Arial" w:hAnsi="Arial" w:cs="Arial"/>
          <w:sz w:val="24"/>
          <w:szCs w:val="24"/>
        </w:rPr>
        <w:t>.</w:t>
      </w:r>
      <w:r w:rsidRPr="00EF3D11">
        <w:rPr>
          <w:rFonts w:ascii="Arial" w:hAnsi="Arial" w:cs="Arial"/>
          <w:sz w:val="24"/>
          <w:szCs w:val="24"/>
        </w:rPr>
        <w:br/>
        <w:t xml:space="preserve">Damodaran, A. (2023) </w:t>
      </w:r>
      <w:r w:rsidRPr="00EF3D11">
        <w:rPr>
          <w:rFonts w:ascii="Arial" w:hAnsi="Arial" w:cs="Arial"/>
          <w:i/>
          <w:iCs/>
          <w:sz w:val="24"/>
          <w:szCs w:val="24"/>
        </w:rPr>
        <w:t>Investment Valuation</w:t>
      </w:r>
      <w:r w:rsidRPr="00EF3D11">
        <w:rPr>
          <w:rFonts w:ascii="Arial" w:hAnsi="Arial" w:cs="Arial"/>
          <w:sz w:val="24"/>
          <w:szCs w:val="24"/>
        </w:rPr>
        <w:t>. 4th ed. Wiley.</w:t>
      </w:r>
      <w:r w:rsidRPr="00EF3D11">
        <w:rPr>
          <w:rFonts w:ascii="Arial" w:hAnsi="Arial" w:cs="Arial"/>
          <w:sz w:val="24"/>
          <w:szCs w:val="24"/>
        </w:rPr>
        <w:br/>
        <w:t>Deloitte (</w:t>
      </w:r>
      <w:proofErr w:type="gramStart"/>
      <w:r w:rsidRPr="00EF3D11">
        <w:rPr>
          <w:rFonts w:ascii="Arial" w:hAnsi="Arial" w:cs="Arial"/>
          <w:sz w:val="24"/>
          <w:szCs w:val="24"/>
        </w:rPr>
        <w:t>2023) ‘</w:t>
      </w:r>
      <w:proofErr w:type="gramEnd"/>
      <w:r w:rsidRPr="00EF3D11">
        <w:rPr>
          <w:rFonts w:ascii="Arial" w:hAnsi="Arial" w:cs="Arial"/>
          <w:sz w:val="24"/>
          <w:szCs w:val="24"/>
        </w:rPr>
        <w:t xml:space="preserve">Working Capital Management Survey’. </w:t>
      </w:r>
      <w:r w:rsidRPr="00EF3D11">
        <w:rPr>
          <w:rFonts w:ascii="Arial" w:hAnsi="Arial" w:cs="Arial"/>
          <w:i/>
          <w:iCs/>
          <w:sz w:val="24"/>
          <w:szCs w:val="24"/>
        </w:rPr>
        <w:t>Deloitte Insights</w:t>
      </w:r>
      <w:r w:rsidRPr="00EF3D11">
        <w:rPr>
          <w:rFonts w:ascii="Arial" w:hAnsi="Arial" w:cs="Arial"/>
          <w:sz w:val="24"/>
          <w:szCs w:val="24"/>
        </w:rPr>
        <w:t>.</w:t>
      </w:r>
      <w:r w:rsidRPr="00EF3D11">
        <w:rPr>
          <w:rFonts w:ascii="Arial" w:hAnsi="Arial" w:cs="Arial"/>
          <w:sz w:val="24"/>
          <w:szCs w:val="24"/>
        </w:rPr>
        <w:br/>
        <w:t>EY (</w:t>
      </w:r>
      <w:proofErr w:type="gramStart"/>
      <w:r w:rsidRPr="00EF3D11">
        <w:rPr>
          <w:rFonts w:ascii="Arial" w:hAnsi="Arial" w:cs="Arial"/>
          <w:sz w:val="24"/>
          <w:szCs w:val="24"/>
        </w:rPr>
        <w:t>2024) ‘</w:t>
      </w:r>
      <w:proofErr w:type="gramEnd"/>
      <w:r w:rsidRPr="00EF3D11">
        <w:rPr>
          <w:rFonts w:ascii="Arial" w:hAnsi="Arial" w:cs="Arial"/>
          <w:sz w:val="24"/>
          <w:szCs w:val="24"/>
        </w:rPr>
        <w:t xml:space="preserve">Capital Structure and Financing Trends’. </w:t>
      </w:r>
      <w:r w:rsidRPr="00EF3D11">
        <w:rPr>
          <w:rFonts w:ascii="Arial" w:hAnsi="Arial" w:cs="Arial"/>
          <w:i/>
          <w:iCs/>
          <w:sz w:val="24"/>
          <w:szCs w:val="24"/>
        </w:rPr>
        <w:t>EY Global Research</w:t>
      </w:r>
      <w:r w:rsidRPr="00EF3D11">
        <w:rPr>
          <w:rFonts w:ascii="Arial" w:hAnsi="Arial" w:cs="Arial"/>
          <w:sz w:val="24"/>
          <w:szCs w:val="24"/>
        </w:rPr>
        <w:t>.</w:t>
      </w:r>
      <w:r w:rsidRPr="00EF3D11">
        <w:rPr>
          <w:rFonts w:ascii="Arial" w:hAnsi="Arial" w:cs="Arial"/>
          <w:sz w:val="24"/>
          <w:szCs w:val="24"/>
        </w:rPr>
        <w:br/>
        <w:t>Financial Times (</w:t>
      </w:r>
      <w:proofErr w:type="gramStart"/>
      <w:r w:rsidRPr="00EF3D11">
        <w:rPr>
          <w:rFonts w:ascii="Arial" w:hAnsi="Arial" w:cs="Arial"/>
          <w:sz w:val="24"/>
          <w:szCs w:val="24"/>
        </w:rPr>
        <w:t>2024) ‘</w:t>
      </w:r>
      <w:proofErr w:type="gramEnd"/>
      <w:r w:rsidRPr="00EF3D11">
        <w:rPr>
          <w:rFonts w:ascii="Arial" w:hAnsi="Arial" w:cs="Arial"/>
          <w:sz w:val="24"/>
          <w:szCs w:val="24"/>
        </w:rPr>
        <w:t xml:space="preserve">Electronics Makers Grapple with Supply Chain Disruptions’. </w:t>
      </w:r>
      <w:r w:rsidRPr="00EF3D11">
        <w:rPr>
          <w:rFonts w:ascii="Arial" w:hAnsi="Arial" w:cs="Arial"/>
          <w:i/>
          <w:iCs/>
          <w:sz w:val="24"/>
          <w:szCs w:val="24"/>
        </w:rPr>
        <w:t>FT</w:t>
      </w:r>
      <w:r w:rsidRPr="00EF3D11">
        <w:rPr>
          <w:rFonts w:ascii="Arial" w:hAnsi="Arial" w:cs="Arial"/>
          <w:sz w:val="24"/>
          <w:szCs w:val="24"/>
        </w:rPr>
        <w:t>, March.</w:t>
      </w:r>
      <w:r w:rsidRPr="00EF3D11">
        <w:rPr>
          <w:rFonts w:ascii="Arial" w:hAnsi="Arial" w:cs="Arial"/>
          <w:sz w:val="24"/>
          <w:szCs w:val="24"/>
        </w:rPr>
        <w:br/>
        <w:t>Grant Thornton (</w:t>
      </w:r>
      <w:proofErr w:type="gramStart"/>
      <w:r w:rsidRPr="00EF3D11">
        <w:rPr>
          <w:rFonts w:ascii="Arial" w:hAnsi="Arial" w:cs="Arial"/>
          <w:sz w:val="24"/>
          <w:szCs w:val="24"/>
        </w:rPr>
        <w:t>2023) ‘</w:t>
      </w:r>
      <w:proofErr w:type="gramEnd"/>
      <w:r w:rsidRPr="00EF3D11">
        <w:rPr>
          <w:rFonts w:ascii="Arial" w:hAnsi="Arial" w:cs="Arial"/>
          <w:sz w:val="24"/>
          <w:szCs w:val="24"/>
        </w:rPr>
        <w:t xml:space="preserve">13-Week Cash Flow Forecasting Best Practices’. </w:t>
      </w:r>
      <w:r w:rsidRPr="00EF3D11">
        <w:rPr>
          <w:rFonts w:ascii="Arial" w:hAnsi="Arial" w:cs="Arial"/>
          <w:i/>
          <w:iCs/>
          <w:sz w:val="24"/>
          <w:szCs w:val="24"/>
        </w:rPr>
        <w:t>GT Insights</w:t>
      </w:r>
      <w:r w:rsidRPr="00EF3D11">
        <w:rPr>
          <w:rFonts w:ascii="Arial" w:hAnsi="Arial" w:cs="Arial"/>
          <w:sz w:val="24"/>
          <w:szCs w:val="24"/>
        </w:rPr>
        <w:t>.</w:t>
      </w:r>
      <w:r w:rsidRPr="00EF3D11">
        <w:rPr>
          <w:rFonts w:ascii="Arial" w:hAnsi="Arial" w:cs="Arial"/>
          <w:sz w:val="24"/>
          <w:szCs w:val="24"/>
        </w:rPr>
        <w:br/>
        <w:t xml:space="preserve">IMF (2024) </w:t>
      </w:r>
      <w:r w:rsidRPr="00EF3D11">
        <w:rPr>
          <w:rFonts w:ascii="Arial" w:hAnsi="Arial" w:cs="Arial"/>
          <w:i/>
          <w:iCs/>
          <w:sz w:val="24"/>
          <w:szCs w:val="24"/>
        </w:rPr>
        <w:t>Global Financial Stability Report</w:t>
      </w:r>
      <w:r w:rsidRPr="00EF3D11">
        <w:rPr>
          <w:rFonts w:ascii="Arial" w:hAnsi="Arial" w:cs="Arial"/>
          <w:sz w:val="24"/>
          <w:szCs w:val="24"/>
        </w:rPr>
        <w:t>. International Monetary Fund.</w:t>
      </w:r>
      <w:r w:rsidRPr="00EF3D11">
        <w:rPr>
          <w:rFonts w:ascii="Arial" w:hAnsi="Arial" w:cs="Arial"/>
          <w:sz w:val="24"/>
          <w:szCs w:val="24"/>
        </w:rPr>
        <w:br/>
        <w:t>Investopedia (</w:t>
      </w:r>
      <w:proofErr w:type="gramStart"/>
      <w:r w:rsidRPr="00EF3D11">
        <w:rPr>
          <w:rFonts w:ascii="Arial" w:hAnsi="Arial" w:cs="Arial"/>
          <w:sz w:val="24"/>
          <w:szCs w:val="24"/>
        </w:rPr>
        <w:t>2024) ‘</w:t>
      </w:r>
      <w:proofErr w:type="gramEnd"/>
      <w:r w:rsidRPr="00EF3D11">
        <w:rPr>
          <w:rFonts w:ascii="Arial" w:hAnsi="Arial" w:cs="Arial"/>
          <w:sz w:val="24"/>
          <w:szCs w:val="24"/>
        </w:rPr>
        <w:t xml:space="preserve">Liquidity Ratios Explained’. </w:t>
      </w:r>
      <w:r w:rsidRPr="00EF3D11">
        <w:rPr>
          <w:rFonts w:ascii="Arial" w:hAnsi="Arial" w:cs="Arial"/>
          <w:i/>
          <w:iCs/>
          <w:sz w:val="24"/>
          <w:szCs w:val="24"/>
        </w:rPr>
        <w:t>Investopedia Online</w:t>
      </w:r>
      <w:r w:rsidRPr="00EF3D11">
        <w:rPr>
          <w:rFonts w:ascii="Arial" w:hAnsi="Arial" w:cs="Arial"/>
          <w:sz w:val="24"/>
          <w:szCs w:val="24"/>
        </w:rPr>
        <w:t>.</w:t>
      </w:r>
      <w:r w:rsidRPr="00EF3D11">
        <w:rPr>
          <w:rFonts w:ascii="Arial" w:hAnsi="Arial" w:cs="Arial"/>
          <w:sz w:val="24"/>
          <w:szCs w:val="24"/>
        </w:rPr>
        <w:br/>
        <w:t>KPMG (</w:t>
      </w:r>
      <w:proofErr w:type="gramStart"/>
      <w:r w:rsidRPr="00EF3D11">
        <w:rPr>
          <w:rFonts w:ascii="Arial" w:hAnsi="Arial" w:cs="Arial"/>
          <w:sz w:val="24"/>
          <w:szCs w:val="24"/>
        </w:rPr>
        <w:t>2023) ‘</w:t>
      </w:r>
      <w:proofErr w:type="gramEnd"/>
      <w:r w:rsidRPr="00EF3D11">
        <w:rPr>
          <w:rFonts w:ascii="Arial" w:hAnsi="Arial" w:cs="Arial"/>
          <w:sz w:val="24"/>
          <w:szCs w:val="24"/>
        </w:rPr>
        <w:t xml:space="preserve">Operational Efficiency in Manufacturing’. </w:t>
      </w:r>
      <w:r w:rsidRPr="00EF3D11">
        <w:rPr>
          <w:rFonts w:ascii="Arial" w:hAnsi="Arial" w:cs="Arial"/>
          <w:i/>
          <w:iCs/>
          <w:sz w:val="24"/>
          <w:szCs w:val="24"/>
        </w:rPr>
        <w:t>KPMG Insights</w:t>
      </w:r>
      <w:r w:rsidRPr="00EF3D11">
        <w:rPr>
          <w:rFonts w:ascii="Arial" w:hAnsi="Arial" w:cs="Arial"/>
          <w:sz w:val="24"/>
          <w:szCs w:val="24"/>
        </w:rPr>
        <w:t>.</w:t>
      </w:r>
      <w:r w:rsidRPr="00EF3D11">
        <w:rPr>
          <w:rFonts w:ascii="Arial" w:hAnsi="Arial" w:cs="Arial"/>
          <w:sz w:val="24"/>
          <w:szCs w:val="24"/>
        </w:rPr>
        <w:br/>
        <w:t>McKinsey &amp; Company (</w:t>
      </w:r>
      <w:proofErr w:type="gramStart"/>
      <w:r w:rsidRPr="00EF3D11">
        <w:rPr>
          <w:rFonts w:ascii="Arial" w:hAnsi="Arial" w:cs="Arial"/>
          <w:sz w:val="24"/>
          <w:szCs w:val="24"/>
        </w:rPr>
        <w:t>2024) ‘</w:t>
      </w:r>
      <w:proofErr w:type="gramEnd"/>
      <w:r w:rsidRPr="00EF3D11">
        <w:rPr>
          <w:rFonts w:ascii="Arial" w:hAnsi="Arial" w:cs="Arial"/>
          <w:sz w:val="24"/>
          <w:szCs w:val="24"/>
        </w:rPr>
        <w:t xml:space="preserve">Reinventing the Electronics Industry’. </w:t>
      </w:r>
      <w:r w:rsidRPr="00EF3D11">
        <w:rPr>
          <w:rFonts w:ascii="Arial" w:hAnsi="Arial" w:cs="Arial"/>
          <w:i/>
          <w:iCs/>
          <w:sz w:val="24"/>
          <w:szCs w:val="24"/>
        </w:rPr>
        <w:t>McKinsey Global Institute</w:t>
      </w:r>
      <w:r w:rsidRPr="00EF3D11">
        <w:rPr>
          <w:rFonts w:ascii="Arial" w:hAnsi="Arial" w:cs="Arial"/>
          <w:sz w:val="24"/>
          <w:szCs w:val="24"/>
        </w:rPr>
        <w:t>.</w:t>
      </w:r>
      <w:r w:rsidRPr="00EF3D11">
        <w:rPr>
          <w:rFonts w:ascii="Arial" w:hAnsi="Arial" w:cs="Arial"/>
          <w:sz w:val="24"/>
          <w:szCs w:val="24"/>
        </w:rPr>
        <w:br/>
        <w:t>OECD (</w:t>
      </w:r>
      <w:proofErr w:type="gramStart"/>
      <w:r w:rsidRPr="00EF3D11">
        <w:rPr>
          <w:rFonts w:ascii="Arial" w:hAnsi="Arial" w:cs="Arial"/>
          <w:sz w:val="24"/>
          <w:szCs w:val="24"/>
        </w:rPr>
        <w:t>2023) ‘</w:t>
      </w:r>
      <w:proofErr w:type="gramEnd"/>
      <w:r w:rsidRPr="00EF3D11">
        <w:rPr>
          <w:rFonts w:ascii="Arial" w:hAnsi="Arial" w:cs="Arial"/>
          <w:sz w:val="24"/>
          <w:szCs w:val="24"/>
        </w:rPr>
        <w:t xml:space="preserve">Corporate Restructuring Practices’. </w:t>
      </w:r>
      <w:r w:rsidRPr="00EF3D11">
        <w:rPr>
          <w:rFonts w:ascii="Arial" w:hAnsi="Arial" w:cs="Arial"/>
          <w:i/>
          <w:iCs/>
          <w:sz w:val="24"/>
          <w:szCs w:val="24"/>
        </w:rPr>
        <w:t>OECD Policy Paper</w:t>
      </w:r>
      <w:r w:rsidRPr="00EF3D11">
        <w:rPr>
          <w:rFonts w:ascii="Arial" w:hAnsi="Arial" w:cs="Arial"/>
          <w:sz w:val="24"/>
          <w:szCs w:val="24"/>
        </w:rPr>
        <w:t>.</w:t>
      </w:r>
      <w:r w:rsidRPr="00EF3D11">
        <w:rPr>
          <w:rFonts w:ascii="Arial" w:hAnsi="Arial" w:cs="Arial"/>
          <w:sz w:val="24"/>
          <w:szCs w:val="24"/>
        </w:rPr>
        <w:br/>
        <w:t>PwC (</w:t>
      </w:r>
      <w:proofErr w:type="gramStart"/>
      <w:r w:rsidRPr="00EF3D11">
        <w:rPr>
          <w:rFonts w:ascii="Arial" w:hAnsi="Arial" w:cs="Arial"/>
          <w:sz w:val="24"/>
          <w:szCs w:val="24"/>
        </w:rPr>
        <w:t>2024) ‘</w:t>
      </w:r>
      <w:proofErr w:type="gramEnd"/>
      <w:r w:rsidRPr="00EF3D11">
        <w:rPr>
          <w:rFonts w:ascii="Arial" w:hAnsi="Arial" w:cs="Arial"/>
          <w:sz w:val="24"/>
          <w:szCs w:val="24"/>
        </w:rPr>
        <w:t xml:space="preserve">Global Consumer Electronics Outlook’. </w:t>
      </w:r>
      <w:r w:rsidRPr="00EF3D11">
        <w:rPr>
          <w:rFonts w:ascii="Arial" w:hAnsi="Arial" w:cs="Arial"/>
          <w:i/>
          <w:iCs/>
          <w:sz w:val="24"/>
          <w:szCs w:val="24"/>
        </w:rPr>
        <w:t>PwC Strategy&amp;</w:t>
      </w:r>
      <w:r w:rsidRPr="00EF3D11">
        <w:rPr>
          <w:rFonts w:ascii="Arial" w:hAnsi="Arial" w:cs="Arial"/>
          <w:sz w:val="24"/>
          <w:szCs w:val="24"/>
        </w:rPr>
        <w:t>.</w:t>
      </w:r>
      <w:r w:rsidRPr="00EF3D11">
        <w:rPr>
          <w:rFonts w:ascii="Arial" w:hAnsi="Arial" w:cs="Arial"/>
          <w:sz w:val="24"/>
          <w:szCs w:val="24"/>
        </w:rPr>
        <w:br/>
        <w:t>Reuters (</w:t>
      </w:r>
      <w:proofErr w:type="gramStart"/>
      <w:r w:rsidRPr="00EF3D11">
        <w:rPr>
          <w:rFonts w:ascii="Arial" w:hAnsi="Arial" w:cs="Arial"/>
          <w:sz w:val="24"/>
          <w:szCs w:val="24"/>
        </w:rPr>
        <w:t>2024) ‘Electronics Firms</w:t>
      </w:r>
      <w:proofErr w:type="gramEnd"/>
      <w:r w:rsidRPr="00EF3D11">
        <w:rPr>
          <w:rFonts w:ascii="Arial" w:hAnsi="Arial" w:cs="Arial"/>
          <w:sz w:val="24"/>
          <w:szCs w:val="24"/>
        </w:rPr>
        <w:t xml:space="preserve"> Face Margin Squeeze amid Inflation’. </w:t>
      </w:r>
      <w:r w:rsidRPr="00EF3D11">
        <w:rPr>
          <w:rFonts w:ascii="Arial" w:hAnsi="Arial" w:cs="Arial"/>
          <w:i/>
          <w:iCs/>
          <w:sz w:val="24"/>
          <w:szCs w:val="24"/>
        </w:rPr>
        <w:t>Reuters Business</w:t>
      </w:r>
      <w:r w:rsidRPr="00EF3D11">
        <w:rPr>
          <w:rFonts w:ascii="Arial" w:hAnsi="Arial" w:cs="Arial"/>
          <w:sz w:val="24"/>
          <w:szCs w:val="24"/>
        </w:rPr>
        <w:t>.</w:t>
      </w:r>
      <w:r w:rsidRPr="00EF3D11">
        <w:rPr>
          <w:rFonts w:ascii="Arial" w:hAnsi="Arial" w:cs="Arial"/>
          <w:sz w:val="24"/>
          <w:szCs w:val="24"/>
        </w:rPr>
        <w:br/>
        <w:t>UN Global Compact (</w:t>
      </w:r>
      <w:proofErr w:type="gramStart"/>
      <w:r w:rsidRPr="00EF3D11">
        <w:rPr>
          <w:rFonts w:ascii="Arial" w:hAnsi="Arial" w:cs="Arial"/>
          <w:sz w:val="24"/>
          <w:szCs w:val="24"/>
        </w:rPr>
        <w:t>2023) ‘</w:t>
      </w:r>
      <w:proofErr w:type="gramEnd"/>
      <w:r w:rsidRPr="00EF3D11">
        <w:rPr>
          <w:rFonts w:ascii="Arial" w:hAnsi="Arial" w:cs="Arial"/>
          <w:sz w:val="24"/>
          <w:szCs w:val="24"/>
        </w:rPr>
        <w:t xml:space="preserve">Sustainable Corporate Finance Principles’. </w:t>
      </w:r>
      <w:r w:rsidRPr="00EF3D11">
        <w:rPr>
          <w:rFonts w:ascii="Arial" w:hAnsi="Arial" w:cs="Arial"/>
          <w:i/>
          <w:iCs/>
          <w:sz w:val="24"/>
          <w:szCs w:val="24"/>
        </w:rPr>
        <w:t>UNGC Publication</w:t>
      </w:r>
      <w:r w:rsidRPr="00EF3D11">
        <w:rPr>
          <w:rFonts w:ascii="Arial" w:hAnsi="Arial" w:cs="Arial"/>
          <w:sz w:val="24"/>
          <w:szCs w:val="24"/>
        </w:rPr>
        <w:t>.</w:t>
      </w:r>
      <w:r w:rsidRPr="00EF3D11">
        <w:rPr>
          <w:rFonts w:ascii="Arial" w:hAnsi="Arial" w:cs="Arial"/>
          <w:sz w:val="24"/>
          <w:szCs w:val="24"/>
        </w:rPr>
        <w:br/>
        <w:t xml:space="preserve">World Bank (2024) </w:t>
      </w:r>
      <w:r w:rsidRPr="00EF3D11">
        <w:rPr>
          <w:rFonts w:ascii="Arial" w:hAnsi="Arial" w:cs="Arial"/>
          <w:i/>
          <w:iCs/>
          <w:sz w:val="24"/>
          <w:szCs w:val="24"/>
        </w:rPr>
        <w:t>Global Economic Prospects</w:t>
      </w:r>
      <w:r w:rsidRPr="00EF3D11">
        <w:rPr>
          <w:rFonts w:ascii="Arial" w:hAnsi="Arial" w:cs="Arial"/>
          <w:sz w:val="24"/>
          <w:szCs w:val="24"/>
        </w:rPr>
        <w:t>. Washington, DC.</w:t>
      </w:r>
    </w:p>
    <w:p w14:paraId="6E85AC9C" w14:textId="77777777" w:rsidR="001E772C" w:rsidRDefault="001E772C"/>
    <w:sectPr w:rsidR="001E772C" w:rsidSect="003B2681">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827075"/>
      <w:docPartObj>
        <w:docPartGallery w:val="Page Numbers (Bottom of Page)"/>
        <w:docPartUnique/>
      </w:docPartObj>
    </w:sdtPr>
    <w:sdtEndPr>
      <w:rPr>
        <w:noProof/>
      </w:rPr>
    </w:sdtEndPr>
    <w:sdtContent>
      <w:p w14:paraId="7A1121BC" w14:textId="77777777" w:rsidR="003B2681" w:rsidRDefault="003B26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81C9C" w14:textId="77777777" w:rsidR="003B2681" w:rsidRDefault="003B268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32065"/>
    <w:multiLevelType w:val="multilevel"/>
    <w:tmpl w:val="0BD2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C7948"/>
    <w:multiLevelType w:val="multilevel"/>
    <w:tmpl w:val="38E6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D560C"/>
    <w:multiLevelType w:val="multilevel"/>
    <w:tmpl w:val="A8F0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553BA"/>
    <w:multiLevelType w:val="multilevel"/>
    <w:tmpl w:val="A796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27DBD"/>
    <w:multiLevelType w:val="multilevel"/>
    <w:tmpl w:val="1B36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B456A"/>
    <w:multiLevelType w:val="multilevel"/>
    <w:tmpl w:val="7366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D250B"/>
    <w:multiLevelType w:val="multilevel"/>
    <w:tmpl w:val="A86A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E50F9"/>
    <w:multiLevelType w:val="multilevel"/>
    <w:tmpl w:val="346C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D09C5"/>
    <w:multiLevelType w:val="multilevel"/>
    <w:tmpl w:val="DC065CA8"/>
    <w:lvl w:ilvl="0">
      <w:start w:val="1"/>
      <w:numFmt w:val="decimal"/>
      <w:lvlText w:val="%1."/>
      <w:lvlJc w:val="left"/>
      <w:pPr>
        <w:tabs>
          <w:tab w:val="num" w:pos="630"/>
        </w:tabs>
        <w:ind w:left="63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12218B"/>
    <w:multiLevelType w:val="multilevel"/>
    <w:tmpl w:val="F9D6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5642F"/>
    <w:multiLevelType w:val="hybridMultilevel"/>
    <w:tmpl w:val="3E30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3D2617"/>
    <w:multiLevelType w:val="multilevel"/>
    <w:tmpl w:val="E1564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747C81"/>
    <w:multiLevelType w:val="multilevel"/>
    <w:tmpl w:val="89B8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645F25"/>
    <w:multiLevelType w:val="multilevel"/>
    <w:tmpl w:val="C180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C32C0"/>
    <w:multiLevelType w:val="multilevel"/>
    <w:tmpl w:val="7C42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50B32"/>
    <w:multiLevelType w:val="hybridMultilevel"/>
    <w:tmpl w:val="767CF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847014"/>
    <w:multiLevelType w:val="hybridMultilevel"/>
    <w:tmpl w:val="136C5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87654"/>
    <w:multiLevelType w:val="multilevel"/>
    <w:tmpl w:val="AFAE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B026B7"/>
    <w:multiLevelType w:val="multilevel"/>
    <w:tmpl w:val="0C96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712A73"/>
    <w:multiLevelType w:val="multilevel"/>
    <w:tmpl w:val="5474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9D13C5"/>
    <w:multiLevelType w:val="multilevel"/>
    <w:tmpl w:val="2E246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2A78F4"/>
    <w:multiLevelType w:val="multilevel"/>
    <w:tmpl w:val="FD22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1C1D72"/>
    <w:multiLevelType w:val="hybridMultilevel"/>
    <w:tmpl w:val="8E607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041909">
    <w:abstractNumId w:val="6"/>
  </w:num>
  <w:num w:numId="2" w16cid:durableId="120415932">
    <w:abstractNumId w:val="9"/>
  </w:num>
  <w:num w:numId="3" w16cid:durableId="1580598840">
    <w:abstractNumId w:val="21"/>
  </w:num>
  <w:num w:numId="4" w16cid:durableId="1762794001">
    <w:abstractNumId w:val="10"/>
  </w:num>
  <w:num w:numId="5" w16cid:durableId="872811021">
    <w:abstractNumId w:val="15"/>
  </w:num>
  <w:num w:numId="6" w16cid:durableId="775368785">
    <w:abstractNumId w:val="5"/>
  </w:num>
  <w:num w:numId="7" w16cid:durableId="2146852024">
    <w:abstractNumId w:val="17"/>
  </w:num>
  <w:num w:numId="8" w16cid:durableId="1394430911">
    <w:abstractNumId w:val="1"/>
  </w:num>
  <w:num w:numId="9" w16cid:durableId="1531607856">
    <w:abstractNumId w:val="0"/>
  </w:num>
  <w:num w:numId="10" w16cid:durableId="917715481">
    <w:abstractNumId w:val="3"/>
  </w:num>
  <w:num w:numId="11" w16cid:durableId="8871050">
    <w:abstractNumId w:val="7"/>
  </w:num>
  <w:num w:numId="12" w16cid:durableId="1084844044">
    <w:abstractNumId w:val="4"/>
  </w:num>
  <w:num w:numId="13" w16cid:durableId="110712602">
    <w:abstractNumId w:val="12"/>
  </w:num>
  <w:num w:numId="14" w16cid:durableId="1777403073">
    <w:abstractNumId w:val="14"/>
  </w:num>
  <w:num w:numId="15" w16cid:durableId="1351684957">
    <w:abstractNumId w:val="18"/>
  </w:num>
  <w:num w:numId="16" w16cid:durableId="403650434">
    <w:abstractNumId w:val="19"/>
  </w:num>
  <w:num w:numId="17" w16cid:durableId="2116711812">
    <w:abstractNumId w:val="2"/>
  </w:num>
  <w:num w:numId="18" w16cid:durableId="1348873072">
    <w:abstractNumId w:val="13"/>
  </w:num>
  <w:num w:numId="19" w16cid:durableId="1423145862">
    <w:abstractNumId w:val="11"/>
  </w:num>
  <w:num w:numId="20" w16cid:durableId="21633549">
    <w:abstractNumId w:val="8"/>
  </w:num>
  <w:num w:numId="21" w16cid:durableId="27879904">
    <w:abstractNumId w:val="22"/>
  </w:num>
  <w:num w:numId="22" w16cid:durableId="1356618376">
    <w:abstractNumId w:val="16"/>
  </w:num>
  <w:num w:numId="23" w16cid:durableId="1463663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72C"/>
    <w:rsid w:val="000F62B6"/>
    <w:rsid w:val="001E772C"/>
    <w:rsid w:val="00222693"/>
    <w:rsid w:val="003B2681"/>
    <w:rsid w:val="00443131"/>
    <w:rsid w:val="005F4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A787F"/>
  <w15:chartTrackingRefBased/>
  <w15:docId w15:val="{F841350A-E0CF-4F7F-B43F-28B573A06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81"/>
    <w:pPr>
      <w:spacing w:line="259" w:lineRule="auto"/>
    </w:pPr>
    <w:rPr>
      <w:rFonts w:cs="Vrinda"/>
      <w:kern w:val="0"/>
      <w:sz w:val="22"/>
      <w:szCs w:val="28"/>
      <w:lang w:bidi="bn-BD"/>
    </w:rPr>
  </w:style>
  <w:style w:type="paragraph" w:styleId="Heading1">
    <w:name w:val="heading 1"/>
    <w:basedOn w:val="Normal"/>
    <w:next w:val="Normal"/>
    <w:link w:val="Heading1Char"/>
    <w:uiPriority w:val="9"/>
    <w:qFormat/>
    <w:rsid w:val="001E7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72C"/>
    <w:pPr>
      <w:keepNext/>
      <w:keepLines/>
      <w:spacing w:before="160" w:after="80"/>
      <w:outlineLvl w:val="2"/>
    </w:pPr>
    <w:rPr>
      <w:rFonts w:eastAsiaTheme="majorEastAsia" w:cstheme="majorBidi"/>
      <w:color w:val="0F4761" w:themeColor="accent1" w:themeShade="BF"/>
      <w:sz w:val="28"/>
    </w:rPr>
  </w:style>
  <w:style w:type="paragraph" w:styleId="Heading4">
    <w:name w:val="heading 4"/>
    <w:basedOn w:val="Normal"/>
    <w:next w:val="Normal"/>
    <w:link w:val="Heading4Char"/>
    <w:uiPriority w:val="9"/>
    <w:semiHidden/>
    <w:unhideWhenUsed/>
    <w:qFormat/>
    <w:rsid w:val="001E7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7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7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72C"/>
    <w:rPr>
      <w:rFonts w:eastAsiaTheme="majorEastAsia" w:cstheme="majorBidi"/>
      <w:color w:val="272727" w:themeColor="text1" w:themeTint="D8"/>
    </w:rPr>
  </w:style>
  <w:style w:type="paragraph" w:styleId="Title">
    <w:name w:val="Title"/>
    <w:basedOn w:val="Normal"/>
    <w:next w:val="Normal"/>
    <w:link w:val="TitleChar"/>
    <w:uiPriority w:val="10"/>
    <w:qFormat/>
    <w:rsid w:val="001E7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72C"/>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1E7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72C"/>
    <w:pPr>
      <w:spacing w:before="160"/>
      <w:jc w:val="center"/>
    </w:pPr>
    <w:rPr>
      <w:i/>
      <w:iCs/>
      <w:color w:val="404040" w:themeColor="text1" w:themeTint="BF"/>
    </w:rPr>
  </w:style>
  <w:style w:type="character" w:customStyle="1" w:styleId="QuoteChar">
    <w:name w:val="Quote Char"/>
    <w:basedOn w:val="DefaultParagraphFont"/>
    <w:link w:val="Quote"/>
    <w:uiPriority w:val="29"/>
    <w:rsid w:val="001E772C"/>
    <w:rPr>
      <w:i/>
      <w:iCs/>
      <w:color w:val="404040" w:themeColor="text1" w:themeTint="BF"/>
    </w:rPr>
  </w:style>
  <w:style w:type="paragraph" w:styleId="ListParagraph">
    <w:name w:val="List Paragraph"/>
    <w:basedOn w:val="Normal"/>
    <w:uiPriority w:val="34"/>
    <w:qFormat/>
    <w:rsid w:val="001E772C"/>
    <w:pPr>
      <w:ind w:left="720"/>
      <w:contextualSpacing/>
    </w:pPr>
  </w:style>
  <w:style w:type="character" w:styleId="IntenseEmphasis">
    <w:name w:val="Intense Emphasis"/>
    <w:basedOn w:val="DefaultParagraphFont"/>
    <w:uiPriority w:val="21"/>
    <w:qFormat/>
    <w:rsid w:val="001E772C"/>
    <w:rPr>
      <w:i/>
      <w:iCs/>
      <w:color w:val="0F4761" w:themeColor="accent1" w:themeShade="BF"/>
    </w:rPr>
  </w:style>
  <w:style w:type="paragraph" w:styleId="IntenseQuote">
    <w:name w:val="Intense Quote"/>
    <w:basedOn w:val="Normal"/>
    <w:next w:val="Normal"/>
    <w:link w:val="IntenseQuoteChar"/>
    <w:uiPriority w:val="30"/>
    <w:qFormat/>
    <w:rsid w:val="001E7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72C"/>
    <w:rPr>
      <w:i/>
      <w:iCs/>
      <w:color w:val="0F4761" w:themeColor="accent1" w:themeShade="BF"/>
    </w:rPr>
  </w:style>
  <w:style w:type="character" w:styleId="IntenseReference">
    <w:name w:val="Intense Reference"/>
    <w:basedOn w:val="DefaultParagraphFont"/>
    <w:uiPriority w:val="32"/>
    <w:qFormat/>
    <w:rsid w:val="001E772C"/>
    <w:rPr>
      <w:b/>
      <w:bCs/>
      <w:smallCaps/>
      <w:color w:val="0F4761" w:themeColor="accent1" w:themeShade="BF"/>
      <w:spacing w:val="5"/>
    </w:rPr>
  </w:style>
  <w:style w:type="table" w:styleId="TableGrid">
    <w:name w:val="Table Grid"/>
    <w:basedOn w:val="TableNormal"/>
    <w:uiPriority w:val="39"/>
    <w:rsid w:val="003B2681"/>
    <w:pPr>
      <w:spacing w:after="0" w:line="240" w:lineRule="auto"/>
    </w:pPr>
    <w:rPr>
      <w:kern w:val="0"/>
      <w:sz w:val="22"/>
      <w:szCs w:val="28"/>
      <w:lang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B2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681"/>
    <w:rPr>
      <w:rFonts w:cs="Vrinda"/>
      <w:kern w:val="0"/>
      <w:sz w:val="22"/>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27</Pages>
  <Words>5746</Words>
  <Characters>32754</Characters>
  <Application>Microsoft Office Word</Application>
  <DocSecurity>0</DocSecurity>
  <Lines>272</Lines>
  <Paragraphs>76</Paragraphs>
  <ScaleCrop>false</ScaleCrop>
  <Company/>
  <LinksUpToDate>false</LinksUpToDate>
  <CharactersWithSpaces>38424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5</cp:revision>
  <dcterms:created xsi:type="dcterms:W3CDTF">2025-11-23T20:58:00Z</dcterms:created>
  <dcterms:modified xsi:type="dcterms:W3CDTF">2025-11-23T21:51:00Z</dcterms:modified>
</cp:coreProperties>
</file>