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91D919" w14:textId="394EAFE8" w:rsidR="00EA4B6B" w:rsidRPr="002E3ED0" w:rsidRDefault="00F863FD" w:rsidP="00F863FD">
      <w:pPr>
        <w:spacing w:line="360" w:lineRule="auto"/>
        <w:jc w:val="center"/>
        <w:rPr>
          <w:rFonts w:ascii="Times New Roman" w:hAnsi="Times New Roman" w:cs="Times New Roman"/>
          <w:sz w:val="24"/>
          <w:szCs w:val="24"/>
        </w:rPr>
      </w:pPr>
      <w:r w:rsidRPr="002E3ED0">
        <w:rPr>
          <w:rFonts w:ascii="Times New Roman" w:hAnsi="Times New Roman" w:cs="Times New Roman"/>
          <w:noProof/>
          <w:sz w:val="24"/>
          <w:szCs w:val="24"/>
        </w:rPr>
        <w:drawing>
          <wp:inline distT="0" distB="0" distL="0" distR="0" wp14:anchorId="2B1E8884" wp14:editId="36B42AA1">
            <wp:extent cx="2750676" cy="1100976"/>
            <wp:effectExtent l="0" t="0" r="0" b="4445"/>
            <wp:docPr id="2119302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61407" cy="1105271"/>
                    </a:xfrm>
                    <a:prstGeom prst="rect">
                      <a:avLst/>
                    </a:prstGeom>
                    <a:noFill/>
                    <a:ln>
                      <a:noFill/>
                    </a:ln>
                  </pic:spPr>
                </pic:pic>
              </a:graphicData>
            </a:graphic>
          </wp:inline>
        </w:drawing>
      </w:r>
    </w:p>
    <w:p w14:paraId="0F5D3666" w14:textId="77777777" w:rsidR="00F863FD" w:rsidRPr="002E3ED0" w:rsidRDefault="00F863FD" w:rsidP="00F863FD">
      <w:pPr>
        <w:spacing w:line="360" w:lineRule="auto"/>
        <w:jc w:val="center"/>
        <w:rPr>
          <w:rFonts w:ascii="Times New Roman" w:hAnsi="Times New Roman" w:cs="Times New Roman"/>
          <w:sz w:val="24"/>
          <w:szCs w:val="24"/>
        </w:rPr>
      </w:pPr>
    </w:p>
    <w:p w14:paraId="6BAC2A86" w14:textId="77777777" w:rsidR="00F863FD" w:rsidRPr="002E3ED0" w:rsidRDefault="00F863FD" w:rsidP="00F863FD">
      <w:pPr>
        <w:spacing w:line="360" w:lineRule="auto"/>
        <w:jc w:val="center"/>
        <w:rPr>
          <w:rFonts w:ascii="Times New Roman" w:hAnsi="Times New Roman" w:cs="Times New Roman"/>
          <w:sz w:val="24"/>
          <w:szCs w:val="24"/>
        </w:rPr>
      </w:pPr>
    </w:p>
    <w:p w14:paraId="5AC728EF" w14:textId="77777777" w:rsidR="00F863FD" w:rsidRPr="002E3ED0" w:rsidRDefault="00F863FD" w:rsidP="00F863FD">
      <w:pPr>
        <w:spacing w:line="360" w:lineRule="auto"/>
        <w:jc w:val="center"/>
        <w:rPr>
          <w:rFonts w:ascii="Times New Roman" w:hAnsi="Times New Roman" w:cs="Times New Roman"/>
          <w:sz w:val="24"/>
          <w:szCs w:val="24"/>
        </w:rPr>
      </w:pPr>
    </w:p>
    <w:p w14:paraId="6B33CE0B" w14:textId="77777777" w:rsidR="00F863FD" w:rsidRPr="002E3ED0" w:rsidRDefault="00F863FD" w:rsidP="00F863FD">
      <w:pPr>
        <w:spacing w:line="360" w:lineRule="auto"/>
        <w:jc w:val="center"/>
        <w:rPr>
          <w:rFonts w:ascii="Times New Roman" w:hAnsi="Times New Roman" w:cs="Times New Roman"/>
          <w:b/>
          <w:bCs/>
          <w:sz w:val="36"/>
          <w:szCs w:val="36"/>
        </w:rPr>
      </w:pPr>
      <w:r w:rsidRPr="002E3ED0">
        <w:rPr>
          <w:rFonts w:ascii="Times New Roman" w:hAnsi="Times New Roman" w:cs="Times New Roman"/>
          <w:b/>
          <w:bCs/>
          <w:color w:val="0F1115"/>
          <w:sz w:val="36"/>
          <w:szCs w:val="36"/>
          <w:shd w:val="clear" w:color="auto" w:fill="EDF3FE"/>
        </w:rPr>
        <w:t>Customer Trust And Security Perception In Digital Banking In the UK: A Systematic Literature Review</w:t>
      </w:r>
    </w:p>
    <w:p w14:paraId="47849C49" w14:textId="77777777" w:rsidR="00F863FD" w:rsidRPr="002E3ED0" w:rsidRDefault="00F863FD" w:rsidP="00F863FD">
      <w:pPr>
        <w:spacing w:line="360" w:lineRule="auto"/>
        <w:jc w:val="center"/>
        <w:rPr>
          <w:rFonts w:ascii="Times New Roman" w:hAnsi="Times New Roman" w:cs="Times New Roman"/>
          <w:sz w:val="24"/>
          <w:szCs w:val="24"/>
        </w:rPr>
      </w:pPr>
    </w:p>
    <w:p w14:paraId="10CB6414" w14:textId="77777777" w:rsidR="00F863FD" w:rsidRPr="002E3ED0" w:rsidRDefault="00F863FD" w:rsidP="00F863FD">
      <w:pPr>
        <w:spacing w:line="360" w:lineRule="auto"/>
        <w:jc w:val="center"/>
        <w:rPr>
          <w:rFonts w:ascii="Times New Roman" w:hAnsi="Times New Roman" w:cs="Times New Roman"/>
          <w:sz w:val="24"/>
          <w:szCs w:val="24"/>
        </w:rPr>
      </w:pPr>
    </w:p>
    <w:p w14:paraId="37B4C55F" w14:textId="77777777" w:rsidR="00F863FD" w:rsidRPr="002E3ED0" w:rsidRDefault="00F863FD" w:rsidP="00F863FD">
      <w:pPr>
        <w:spacing w:line="360" w:lineRule="auto"/>
        <w:jc w:val="center"/>
        <w:rPr>
          <w:rFonts w:ascii="Times New Roman" w:hAnsi="Times New Roman" w:cs="Times New Roman"/>
          <w:sz w:val="24"/>
          <w:szCs w:val="24"/>
        </w:rPr>
      </w:pPr>
    </w:p>
    <w:p w14:paraId="23CC1971" w14:textId="77777777" w:rsidR="00F863FD" w:rsidRPr="002E3ED0" w:rsidRDefault="00F863FD" w:rsidP="00F863FD">
      <w:pPr>
        <w:spacing w:line="360" w:lineRule="auto"/>
        <w:jc w:val="center"/>
        <w:rPr>
          <w:rFonts w:ascii="Times New Roman" w:hAnsi="Times New Roman" w:cs="Times New Roman"/>
          <w:sz w:val="24"/>
          <w:szCs w:val="24"/>
        </w:rPr>
      </w:pPr>
    </w:p>
    <w:p w14:paraId="4F431E12" w14:textId="77777777" w:rsidR="00F863FD" w:rsidRPr="002E3ED0" w:rsidRDefault="00F863FD" w:rsidP="00F863FD">
      <w:pPr>
        <w:spacing w:line="360" w:lineRule="auto"/>
        <w:jc w:val="center"/>
        <w:rPr>
          <w:rFonts w:ascii="Times New Roman" w:hAnsi="Times New Roman" w:cs="Times New Roman"/>
          <w:sz w:val="24"/>
          <w:szCs w:val="24"/>
        </w:rPr>
      </w:pPr>
    </w:p>
    <w:tbl>
      <w:tblPr>
        <w:tblW w:w="5000" w:type="pct"/>
        <w:jc w:val="center"/>
        <w:tblLook w:val="04A0" w:firstRow="1" w:lastRow="0" w:firstColumn="1" w:lastColumn="0" w:noHBand="0" w:noVBand="1"/>
      </w:tblPr>
      <w:tblGrid>
        <w:gridCol w:w="1630"/>
        <w:gridCol w:w="3658"/>
        <w:gridCol w:w="1969"/>
        <w:gridCol w:w="2083"/>
      </w:tblGrid>
      <w:tr w:rsidR="00F863FD" w:rsidRPr="002E3ED0" w14:paraId="59AE10D7" w14:textId="77777777" w:rsidTr="00F863FD">
        <w:trPr>
          <w:trHeight w:val="691"/>
          <w:jc w:val="center"/>
        </w:trPr>
        <w:tc>
          <w:tcPr>
            <w:tcW w:w="873" w:type="pct"/>
            <w:tcBorders>
              <w:top w:val="single" w:sz="8" w:space="0" w:color="808080"/>
              <w:left w:val="single" w:sz="8" w:space="0" w:color="808080"/>
              <w:bottom w:val="single" w:sz="8" w:space="0" w:color="808080"/>
              <w:right w:val="single" w:sz="8" w:space="0" w:color="808080"/>
            </w:tcBorders>
            <w:shd w:val="clear" w:color="auto" w:fill="D9D9D9"/>
            <w:tcMar>
              <w:top w:w="70" w:type="dxa"/>
              <w:left w:w="90" w:type="dxa"/>
              <w:bottom w:w="70" w:type="dxa"/>
              <w:right w:w="90" w:type="dxa"/>
            </w:tcMar>
            <w:vAlign w:val="center"/>
          </w:tcPr>
          <w:p w14:paraId="178241E3" w14:textId="17D935E9" w:rsidR="00F863FD" w:rsidRPr="002E3ED0" w:rsidRDefault="00F863FD" w:rsidP="0034459F">
            <w:pPr>
              <w:rPr>
                <w:rFonts w:ascii="Times New Roman" w:hAnsi="Times New Roman" w:cs="Times New Roman"/>
                <w:b/>
                <w:bCs/>
                <w:sz w:val="24"/>
                <w:szCs w:val="24"/>
              </w:rPr>
            </w:pPr>
            <w:r w:rsidRPr="002E3ED0">
              <w:rPr>
                <w:rFonts w:ascii="Times New Roman" w:hAnsi="Times New Roman" w:cs="Times New Roman"/>
                <w:b/>
                <w:bCs/>
                <w:sz w:val="24"/>
                <w:szCs w:val="24"/>
              </w:rPr>
              <w:t>Student Name:</w:t>
            </w:r>
          </w:p>
        </w:tc>
        <w:tc>
          <w:tcPr>
            <w:tcW w:w="1958" w:type="pct"/>
            <w:tcBorders>
              <w:top w:val="single" w:sz="8" w:space="0" w:color="808080"/>
              <w:left w:val="single" w:sz="8" w:space="0" w:color="808080"/>
              <w:bottom w:val="single" w:sz="8" w:space="0" w:color="808080"/>
              <w:right w:val="single" w:sz="8" w:space="0" w:color="808080"/>
            </w:tcBorders>
            <w:tcMar>
              <w:top w:w="70" w:type="dxa"/>
              <w:left w:w="90" w:type="dxa"/>
              <w:bottom w:w="70" w:type="dxa"/>
              <w:right w:w="90" w:type="dxa"/>
            </w:tcMar>
            <w:vAlign w:val="center"/>
          </w:tcPr>
          <w:p w14:paraId="7B266E43" w14:textId="1FE3CAAF" w:rsidR="00F863FD" w:rsidRPr="002E3ED0" w:rsidRDefault="00F863FD" w:rsidP="0034459F">
            <w:pPr>
              <w:rPr>
                <w:rFonts w:ascii="Times New Roman" w:hAnsi="Times New Roman" w:cs="Times New Roman"/>
                <w:sz w:val="24"/>
                <w:szCs w:val="24"/>
              </w:rPr>
            </w:pPr>
            <w:r w:rsidRPr="002E3ED0">
              <w:rPr>
                <w:rFonts w:ascii="Times New Roman" w:hAnsi="Times New Roman" w:cs="Times New Roman"/>
                <w:sz w:val="24"/>
                <w:szCs w:val="24"/>
              </w:rPr>
              <w:t>Aamir Sohail</w:t>
            </w:r>
          </w:p>
        </w:tc>
        <w:tc>
          <w:tcPr>
            <w:tcW w:w="1054" w:type="pct"/>
            <w:tcBorders>
              <w:top w:val="single" w:sz="8" w:space="0" w:color="808080"/>
              <w:left w:val="single" w:sz="8" w:space="0" w:color="808080"/>
              <w:bottom w:val="single" w:sz="8" w:space="0" w:color="808080"/>
              <w:right w:val="single" w:sz="8" w:space="0" w:color="808080"/>
            </w:tcBorders>
            <w:shd w:val="clear" w:color="auto" w:fill="D9D9D9"/>
            <w:tcMar>
              <w:top w:w="70" w:type="dxa"/>
              <w:left w:w="90" w:type="dxa"/>
              <w:bottom w:w="70" w:type="dxa"/>
              <w:right w:w="90" w:type="dxa"/>
            </w:tcMar>
            <w:vAlign w:val="center"/>
          </w:tcPr>
          <w:p w14:paraId="0C610784" w14:textId="77777777" w:rsidR="00F863FD" w:rsidRPr="002E3ED0" w:rsidRDefault="00F863FD" w:rsidP="0034459F">
            <w:pPr>
              <w:rPr>
                <w:rFonts w:ascii="Times New Roman" w:hAnsi="Times New Roman" w:cs="Times New Roman"/>
                <w:sz w:val="24"/>
                <w:szCs w:val="24"/>
              </w:rPr>
            </w:pPr>
            <w:r w:rsidRPr="002E3ED0">
              <w:rPr>
                <w:rFonts w:ascii="Times New Roman" w:hAnsi="Times New Roman" w:cs="Times New Roman"/>
                <w:b/>
                <w:sz w:val="24"/>
                <w:szCs w:val="24"/>
              </w:rPr>
              <w:t>Student ID number:</w:t>
            </w:r>
          </w:p>
        </w:tc>
        <w:tc>
          <w:tcPr>
            <w:tcW w:w="1115" w:type="pct"/>
            <w:tcBorders>
              <w:top w:val="single" w:sz="8" w:space="0" w:color="808080"/>
              <w:left w:val="single" w:sz="8" w:space="0" w:color="808080"/>
              <w:bottom w:val="single" w:sz="8" w:space="0" w:color="808080"/>
              <w:right w:val="single" w:sz="8" w:space="0" w:color="808080"/>
            </w:tcBorders>
            <w:tcMar>
              <w:top w:w="70" w:type="dxa"/>
              <w:left w:w="90" w:type="dxa"/>
              <w:bottom w:w="70" w:type="dxa"/>
              <w:right w:w="90" w:type="dxa"/>
            </w:tcMar>
            <w:vAlign w:val="center"/>
          </w:tcPr>
          <w:p w14:paraId="0169FA25" w14:textId="27D40BE9" w:rsidR="00F863FD" w:rsidRPr="002E3ED0" w:rsidRDefault="00F863FD" w:rsidP="0034459F">
            <w:pPr>
              <w:rPr>
                <w:rFonts w:ascii="Times New Roman" w:hAnsi="Times New Roman" w:cs="Times New Roman"/>
                <w:sz w:val="24"/>
                <w:szCs w:val="24"/>
              </w:rPr>
            </w:pPr>
            <w:r w:rsidRPr="002E3ED0">
              <w:rPr>
                <w:rFonts w:ascii="Times New Roman" w:hAnsi="Times New Roman" w:cs="Times New Roman"/>
                <w:sz w:val="24"/>
                <w:szCs w:val="24"/>
              </w:rPr>
              <w:t>2439807</w:t>
            </w:r>
          </w:p>
        </w:tc>
      </w:tr>
      <w:tr w:rsidR="00F863FD" w:rsidRPr="002E3ED0" w14:paraId="07E7A434" w14:textId="77777777" w:rsidTr="00F863FD">
        <w:trPr>
          <w:trHeight w:val="619"/>
          <w:jc w:val="center"/>
        </w:trPr>
        <w:tc>
          <w:tcPr>
            <w:tcW w:w="873" w:type="pct"/>
            <w:tcBorders>
              <w:top w:val="single" w:sz="8" w:space="0" w:color="808080"/>
              <w:left w:val="single" w:sz="8" w:space="0" w:color="808080"/>
              <w:bottom w:val="single" w:sz="8" w:space="0" w:color="808080"/>
              <w:right w:val="single" w:sz="8" w:space="0" w:color="808080"/>
            </w:tcBorders>
            <w:shd w:val="clear" w:color="auto" w:fill="D9D9D9"/>
            <w:tcMar>
              <w:top w:w="70" w:type="dxa"/>
              <w:left w:w="90" w:type="dxa"/>
              <w:bottom w:w="70" w:type="dxa"/>
              <w:right w:w="90" w:type="dxa"/>
            </w:tcMar>
            <w:vAlign w:val="center"/>
          </w:tcPr>
          <w:p w14:paraId="05C8F92D" w14:textId="77777777" w:rsidR="00F863FD" w:rsidRPr="002E3ED0" w:rsidRDefault="00F863FD" w:rsidP="0034459F">
            <w:pPr>
              <w:rPr>
                <w:rFonts w:ascii="Times New Roman" w:hAnsi="Times New Roman" w:cs="Times New Roman"/>
                <w:sz w:val="24"/>
                <w:szCs w:val="24"/>
              </w:rPr>
            </w:pPr>
            <w:r w:rsidRPr="002E3ED0">
              <w:rPr>
                <w:rFonts w:ascii="Times New Roman" w:hAnsi="Times New Roman" w:cs="Times New Roman"/>
                <w:b/>
                <w:sz w:val="24"/>
                <w:szCs w:val="24"/>
              </w:rPr>
              <w:t>Programme:</w:t>
            </w:r>
          </w:p>
        </w:tc>
        <w:tc>
          <w:tcPr>
            <w:tcW w:w="4127" w:type="pct"/>
            <w:gridSpan w:val="3"/>
            <w:tcBorders>
              <w:top w:val="single" w:sz="8" w:space="0" w:color="808080"/>
              <w:left w:val="single" w:sz="8" w:space="0" w:color="808080"/>
              <w:bottom w:val="single" w:sz="8" w:space="0" w:color="808080"/>
              <w:right w:val="single" w:sz="8" w:space="0" w:color="808080"/>
            </w:tcBorders>
            <w:tcMar>
              <w:top w:w="70" w:type="dxa"/>
              <w:left w:w="90" w:type="dxa"/>
              <w:bottom w:w="70" w:type="dxa"/>
              <w:right w:w="90" w:type="dxa"/>
            </w:tcMar>
            <w:vAlign w:val="center"/>
          </w:tcPr>
          <w:p w14:paraId="0A0BF5F6" w14:textId="77777777" w:rsidR="00F863FD" w:rsidRPr="002E3ED0" w:rsidRDefault="00F863FD" w:rsidP="0034459F">
            <w:pPr>
              <w:rPr>
                <w:rFonts w:ascii="Times New Roman" w:hAnsi="Times New Roman" w:cs="Times New Roman"/>
                <w:sz w:val="24"/>
                <w:szCs w:val="24"/>
              </w:rPr>
            </w:pPr>
            <w:r w:rsidRPr="002E3ED0">
              <w:rPr>
                <w:rFonts w:ascii="Times New Roman" w:hAnsi="Times New Roman" w:cs="Times New Roman"/>
                <w:sz w:val="24"/>
                <w:szCs w:val="24"/>
              </w:rPr>
              <w:t>Master of Business Administration</w:t>
            </w:r>
          </w:p>
        </w:tc>
      </w:tr>
      <w:tr w:rsidR="00F863FD" w:rsidRPr="002E3ED0" w14:paraId="64B4967F" w14:textId="77777777" w:rsidTr="00F863FD">
        <w:trPr>
          <w:trHeight w:val="619"/>
          <w:jc w:val="center"/>
        </w:trPr>
        <w:tc>
          <w:tcPr>
            <w:tcW w:w="873" w:type="pct"/>
            <w:tcBorders>
              <w:top w:val="single" w:sz="8" w:space="0" w:color="808080"/>
              <w:left w:val="single" w:sz="8" w:space="0" w:color="808080"/>
              <w:bottom w:val="single" w:sz="8" w:space="0" w:color="808080"/>
              <w:right w:val="single" w:sz="8" w:space="0" w:color="808080"/>
            </w:tcBorders>
            <w:shd w:val="clear" w:color="auto" w:fill="D9D9D9"/>
            <w:tcMar>
              <w:top w:w="70" w:type="dxa"/>
              <w:left w:w="90" w:type="dxa"/>
              <w:bottom w:w="70" w:type="dxa"/>
              <w:right w:w="90" w:type="dxa"/>
            </w:tcMar>
            <w:vAlign w:val="center"/>
          </w:tcPr>
          <w:p w14:paraId="5C931D74" w14:textId="77777777" w:rsidR="00F863FD" w:rsidRPr="002E3ED0" w:rsidRDefault="00F863FD" w:rsidP="0034459F">
            <w:pPr>
              <w:rPr>
                <w:rFonts w:ascii="Times New Roman" w:hAnsi="Times New Roman" w:cs="Times New Roman"/>
                <w:sz w:val="24"/>
                <w:szCs w:val="24"/>
              </w:rPr>
            </w:pPr>
            <w:r w:rsidRPr="002E3ED0">
              <w:rPr>
                <w:rFonts w:ascii="Times New Roman" w:hAnsi="Times New Roman" w:cs="Times New Roman"/>
                <w:b/>
                <w:sz w:val="24"/>
                <w:szCs w:val="24"/>
              </w:rPr>
              <w:t>Module:</w:t>
            </w:r>
          </w:p>
        </w:tc>
        <w:tc>
          <w:tcPr>
            <w:tcW w:w="4127" w:type="pct"/>
            <w:gridSpan w:val="3"/>
            <w:tcBorders>
              <w:top w:val="single" w:sz="8" w:space="0" w:color="808080"/>
              <w:left w:val="single" w:sz="8" w:space="0" w:color="808080"/>
              <w:bottom w:val="single" w:sz="8" w:space="0" w:color="808080"/>
              <w:right w:val="single" w:sz="8" w:space="0" w:color="808080"/>
            </w:tcBorders>
            <w:tcMar>
              <w:top w:w="70" w:type="dxa"/>
              <w:left w:w="90" w:type="dxa"/>
              <w:bottom w:w="70" w:type="dxa"/>
              <w:right w:w="90" w:type="dxa"/>
            </w:tcMar>
            <w:vAlign w:val="center"/>
          </w:tcPr>
          <w:p w14:paraId="12DDDEAF" w14:textId="77777777" w:rsidR="00F863FD" w:rsidRPr="002E3ED0" w:rsidRDefault="00F863FD" w:rsidP="0034459F">
            <w:pPr>
              <w:rPr>
                <w:rFonts w:ascii="Times New Roman" w:hAnsi="Times New Roman" w:cs="Times New Roman"/>
                <w:sz w:val="24"/>
                <w:szCs w:val="24"/>
              </w:rPr>
            </w:pPr>
            <w:r w:rsidRPr="002E3ED0">
              <w:rPr>
                <w:rFonts w:ascii="Times New Roman" w:hAnsi="Times New Roman" w:cs="Times New Roman"/>
                <w:sz w:val="24"/>
                <w:szCs w:val="24"/>
              </w:rPr>
              <w:t>Dissertation</w:t>
            </w:r>
          </w:p>
        </w:tc>
      </w:tr>
      <w:tr w:rsidR="00F863FD" w:rsidRPr="002E3ED0" w14:paraId="65021F17" w14:textId="77777777" w:rsidTr="00F863FD">
        <w:trPr>
          <w:trHeight w:val="892"/>
          <w:jc w:val="center"/>
        </w:trPr>
        <w:tc>
          <w:tcPr>
            <w:tcW w:w="873" w:type="pct"/>
            <w:tcBorders>
              <w:top w:val="single" w:sz="8" w:space="0" w:color="808080"/>
              <w:left w:val="single" w:sz="8" w:space="0" w:color="808080"/>
              <w:bottom w:val="single" w:sz="8" w:space="0" w:color="808080"/>
              <w:right w:val="single" w:sz="8" w:space="0" w:color="808080"/>
            </w:tcBorders>
            <w:shd w:val="clear" w:color="auto" w:fill="D9D9D9"/>
            <w:tcMar>
              <w:top w:w="70" w:type="dxa"/>
              <w:left w:w="90" w:type="dxa"/>
              <w:bottom w:w="70" w:type="dxa"/>
              <w:right w:w="90" w:type="dxa"/>
            </w:tcMar>
            <w:vAlign w:val="center"/>
          </w:tcPr>
          <w:p w14:paraId="7EFE6571" w14:textId="77777777" w:rsidR="00F863FD" w:rsidRPr="002E3ED0" w:rsidRDefault="00F863FD" w:rsidP="0034459F">
            <w:pPr>
              <w:rPr>
                <w:rFonts w:ascii="Times New Roman" w:hAnsi="Times New Roman" w:cs="Times New Roman"/>
                <w:sz w:val="24"/>
                <w:szCs w:val="24"/>
              </w:rPr>
            </w:pPr>
            <w:r w:rsidRPr="002E3ED0">
              <w:rPr>
                <w:rFonts w:ascii="Times New Roman" w:hAnsi="Times New Roman" w:cs="Times New Roman"/>
                <w:b/>
                <w:sz w:val="24"/>
                <w:szCs w:val="24"/>
              </w:rPr>
              <w:t>Module code:</w:t>
            </w:r>
          </w:p>
        </w:tc>
        <w:tc>
          <w:tcPr>
            <w:tcW w:w="1958" w:type="pct"/>
            <w:tcBorders>
              <w:top w:val="single" w:sz="8" w:space="0" w:color="808080"/>
              <w:left w:val="single" w:sz="8" w:space="0" w:color="808080"/>
              <w:bottom w:val="single" w:sz="8" w:space="0" w:color="808080"/>
              <w:right w:val="single" w:sz="8" w:space="0" w:color="808080"/>
            </w:tcBorders>
            <w:tcMar>
              <w:top w:w="70" w:type="dxa"/>
              <w:left w:w="90" w:type="dxa"/>
              <w:bottom w:w="70" w:type="dxa"/>
              <w:right w:w="90" w:type="dxa"/>
            </w:tcMar>
            <w:vAlign w:val="center"/>
          </w:tcPr>
          <w:p w14:paraId="0086A20E" w14:textId="77777777" w:rsidR="00F863FD" w:rsidRPr="002E3ED0" w:rsidRDefault="00F863FD" w:rsidP="0034459F">
            <w:pPr>
              <w:rPr>
                <w:rFonts w:ascii="Times New Roman" w:hAnsi="Times New Roman" w:cs="Times New Roman"/>
                <w:sz w:val="24"/>
                <w:szCs w:val="24"/>
              </w:rPr>
            </w:pPr>
            <w:r w:rsidRPr="002E3ED0">
              <w:rPr>
                <w:rFonts w:ascii="Times New Roman" w:hAnsi="Times New Roman" w:cs="Times New Roman"/>
                <w:sz w:val="24"/>
                <w:szCs w:val="24"/>
              </w:rPr>
              <w:t>LCMB7035</w:t>
            </w:r>
          </w:p>
        </w:tc>
        <w:tc>
          <w:tcPr>
            <w:tcW w:w="1054" w:type="pct"/>
            <w:tcBorders>
              <w:top w:val="single" w:sz="8" w:space="0" w:color="808080"/>
              <w:left w:val="single" w:sz="8" w:space="0" w:color="808080"/>
              <w:bottom w:val="single" w:sz="8" w:space="0" w:color="808080"/>
              <w:right w:val="single" w:sz="8" w:space="0" w:color="808080"/>
            </w:tcBorders>
            <w:shd w:val="clear" w:color="auto" w:fill="D9D9D9"/>
            <w:tcMar>
              <w:top w:w="70" w:type="dxa"/>
              <w:left w:w="90" w:type="dxa"/>
              <w:bottom w:w="70" w:type="dxa"/>
              <w:right w:w="90" w:type="dxa"/>
            </w:tcMar>
            <w:vAlign w:val="center"/>
          </w:tcPr>
          <w:p w14:paraId="4803AC42" w14:textId="5E03BA4C" w:rsidR="00F863FD" w:rsidRPr="002E3ED0" w:rsidRDefault="00F863FD" w:rsidP="0034459F">
            <w:pPr>
              <w:rPr>
                <w:rFonts w:ascii="Times New Roman" w:hAnsi="Times New Roman" w:cs="Times New Roman"/>
                <w:sz w:val="24"/>
                <w:szCs w:val="24"/>
              </w:rPr>
            </w:pPr>
            <w:r w:rsidRPr="002E3ED0">
              <w:rPr>
                <w:rFonts w:ascii="Times New Roman" w:hAnsi="Times New Roman" w:cs="Times New Roman"/>
                <w:b/>
                <w:sz w:val="24"/>
                <w:szCs w:val="24"/>
              </w:rPr>
              <w:t>Supervisor</w:t>
            </w:r>
          </w:p>
        </w:tc>
        <w:tc>
          <w:tcPr>
            <w:tcW w:w="1115" w:type="pct"/>
            <w:tcBorders>
              <w:top w:val="single" w:sz="8" w:space="0" w:color="808080"/>
              <w:left w:val="single" w:sz="8" w:space="0" w:color="808080"/>
              <w:bottom w:val="single" w:sz="8" w:space="0" w:color="808080"/>
              <w:right w:val="single" w:sz="8" w:space="0" w:color="808080"/>
            </w:tcBorders>
            <w:tcMar>
              <w:top w:w="70" w:type="dxa"/>
              <w:left w:w="90" w:type="dxa"/>
              <w:bottom w:w="70" w:type="dxa"/>
              <w:right w:w="90" w:type="dxa"/>
            </w:tcMar>
            <w:vAlign w:val="center"/>
          </w:tcPr>
          <w:p w14:paraId="4FF42A28" w14:textId="4CA3F076" w:rsidR="00F863FD" w:rsidRPr="002E3ED0" w:rsidRDefault="00F863FD" w:rsidP="0034459F">
            <w:pPr>
              <w:rPr>
                <w:rFonts w:ascii="Times New Roman" w:hAnsi="Times New Roman" w:cs="Times New Roman"/>
                <w:bCs/>
                <w:sz w:val="24"/>
                <w:szCs w:val="24"/>
              </w:rPr>
            </w:pPr>
            <w:r w:rsidRPr="002E3ED0">
              <w:rPr>
                <w:rFonts w:ascii="Times New Roman" w:hAnsi="Times New Roman" w:cs="Times New Roman"/>
                <w:bCs/>
                <w:sz w:val="24"/>
                <w:szCs w:val="24"/>
              </w:rPr>
              <w:t>Mark Piekarz</w:t>
            </w:r>
          </w:p>
        </w:tc>
      </w:tr>
      <w:tr w:rsidR="00F863FD" w:rsidRPr="002E3ED0" w14:paraId="3AE252D0" w14:textId="77777777" w:rsidTr="00F863FD">
        <w:trPr>
          <w:trHeight w:val="892"/>
          <w:jc w:val="center"/>
        </w:trPr>
        <w:tc>
          <w:tcPr>
            <w:tcW w:w="873" w:type="pct"/>
            <w:tcBorders>
              <w:top w:val="single" w:sz="8" w:space="0" w:color="808080"/>
              <w:left w:val="single" w:sz="8" w:space="0" w:color="808080"/>
              <w:bottom w:val="single" w:sz="8" w:space="0" w:color="808080"/>
              <w:right w:val="single" w:sz="8" w:space="0" w:color="808080"/>
            </w:tcBorders>
            <w:shd w:val="clear" w:color="auto" w:fill="D9D9D9"/>
            <w:tcMar>
              <w:top w:w="70" w:type="dxa"/>
              <w:left w:w="90" w:type="dxa"/>
              <w:bottom w:w="70" w:type="dxa"/>
              <w:right w:w="90" w:type="dxa"/>
            </w:tcMar>
            <w:vAlign w:val="center"/>
          </w:tcPr>
          <w:p w14:paraId="1A537836" w14:textId="08C6146D" w:rsidR="00F863FD" w:rsidRPr="002E3ED0" w:rsidRDefault="00F863FD" w:rsidP="0034459F">
            <w:pPr>
              <w:rPr>
                <w:rFonts w:ascii="Times New Roman" w:hAnsi="Times New Roman" w:cs="Times New Roman"/>
                <w:b/>
                <w:sz w:val="24"/>
                <w:szCs w:val="24"/>
              </w:rPr>
            </w:pPr>
            <w:r w:rsidRPr="002E3ED0">
              <w:rPr>
                <w:rFonts w:ascii="Times New Roman" w:hAnsi="Times New Roman" w:cs="Times New Roman"/>
                <w:b/>
                <w:sz w:val="24"/>
                <w:szCs w:val="24"/>
              </w:rPr>
              <w:t>Due Date</w:t>
            </w:r>
          </w:p>
        </w:tc>
        <w:tc>
          <w:tcPr>
            <w:tcW w:w="1958" w:type="pct"/>
            <w:tcBorders>
              <w:top w:val="single" w:sz="8" w:space="0" w:color="808080"/>
              <w:left w:val="single" w:sz="8" w:space="0" w:color="808080"/>
              <w:bottom w:val="single" w:sz="8" w:space="0" w:color="808080"/>
              <w:right w:val="single" w:sz="8" w:space="0" w:color="808080"/>
            </w:tcBorders>
            <w:tcMar>
              <w:top w:w="70" w:type="dxa"/>
              <w:left w:w="90" w:type="dxa"/>
              <w:bottom w:w="70" w:type="dxa"/>
              <w:right w:w="90" w:type="dxa"/>
            </w:tcMar>
            <w:vAlign w:val="center"/>
          </w:tcPr>
          <w:p w14:paraId="0F3771C8" w14:textId="7C72D1C4" w:rsidR="00F863FD" w:rsidRPr="002E3ED0" w:rsidRDefault="00F863FD" w:rsidP="0034459F">
            <w:pPr>
              <w:rPr>
                <w:rFonts w:ascii="Times New Roman" w:hAnsi="Times New Roman" w:cs="Times New Roman"/>
                <w:sz w:val="24"/>
                <w:szCs w:val="24"/>
              </w:rPr>
            </w:pPr>
            <w:r w:rsidRPr="002E3ED0">
              <w:rPr>
                <w:rFonts w:ascii="Times New Roman" w:hAnsi="Times New Roman" w:cs="Times New Roman"/>
                <w:sz w:val="24"/>
                <w:szCs w:val="24"/>
              </w:rPr>
              <w:t>28 August, 2026</w:t>
            </w:r>
          </w:p>
        </w:tc>
        <w:tc>
          <w:tcPr>
            <w:tcW w:w="1054" w:type="pct"/>
            <w:tcBorders>
              <w:top w:val="single" w:sz="8" w:space="0" w:color="808080"/>
              <w:left w:val="single" w:sz="8" w:space="0" w:color="808080"/>
              <w:bottom w:val="single" w:sz="8" w:space="0" w:color="808080"/>
              <w:right w:val="single" w:sz="8" w:space="0" w:color="808080"/>
            </w:tcBorders>
            <w:shd w:val="clear" w:color="auto" w:fill="D9D9D9"/>
            <w:tcMar>
              <w:top w:w="70" w:type="dxa"/>
              <w:left w:w="90" w:type="dxa"/>
              <w:bottom w:w="70" w:type="dxa"/>
              <w:right w:w="90" w:type="dxa"/>
            </w:tcMar>
            <w:vAlign w:val="center"/>
          </w:tcPr>
          <w:p w14:paraId="5D14C80B" w14:textId="77777777" w:rsidR="00F863FD" w:rsidRPr="002E3ED0" w:rsidRDefault="00F863FD" w:rsidP="0034459F">
            <w:pPr>
              <w:rPr>
                <w:rFonts w:ascii="Times New Roman" w:hAnsi="Times New Roman" w:cs="Times New Roman"/>
                <w:b/>
                <w:sz w:val="24"/>
                <w:szCs w:val="24"/>
              </w:rPr>
            </w:pPr>
          </w:p>
        </w:tc>
        <w:tc>
          <w:tcPr>
            <w:tcW w:w="1115" w:type="pct"/>
            <w:tcBorders>
              <w:top w:val="single" w:sz="8" w:space="0" w:color="808080"/>
              <w:left w:val="single" w:sz="8" w:space="0" w:color="808080"/>
              <w:bottom w:val="single" w:sz="8" w:space="0" w:color="808080"/>
              <w:right w:val="single" w:sz="8" w:space="0" w:color="808080"/>
            </w:tcBorders>
            <w:tcMar>
              <w:top w:w="70" w:type="dxa"/>
              <w:left w:w="90" w:type="dxa"/>
              <w:bottom w:w="70" w:type="dxa"/>
              <w:right w:w="90" w:type="dxa"/>
            </w:tcMar>
            <w:vAlign w:val="center"/>
          </w:tcPr>
          <w:p w14:paraId="014B254B" w14:textId="77777777" w:rsidR="00F863FD" w:rsidRPr="002E3ED0" w:rsidRDefault="00F863FD" w:rsidP="0034459F">
            <w:pPr>
              <w:rPr>
                <w:rFonts w:ascii="Times New Roman" w:hAnsi="Times New Roman" w:cs="Times New Roman"/>
                <w:bCs/>
                <w:sz w:val="24"/>
                <w:szCs w:val="24"/>
              </w:rPr>
            </w:pPr>
          </w:p>
        </w:tc>
      </w:tr>
    </w:tbl>
    <w:p w14:paraId="2642824E" w14:textId="77777777" w:rsidR="00EA4B6B" w:rsidRPr="002E3ED0" w:rsidRDefault="00EA4B6B" w:rsidP="00875014">
      <w:pPr>
        <w:spacing w:line="360" w:lineRule="auto"/>
        <w:rPr>
          <w:rFonts w:ascii="Times New Roman" w:hAnsi="Times New Roman" w:cs="Times New Roman"/>
          <w:sz w:val="24"/>
          <w:szCs w:val="24"/>
        </w:rPr>
      </w:pPr>
    </w:p>
    <w:p w14:paraId="608DA54E" w14:textId="77777777" w:rsidR="00EA4B6B" w:rsidRPr="002E3ED0" w:rsidRDefault="00EA4B6B" w:rsidP="00875014">
      <w:pPr>
        <w:spacing w:line="360" w:lineRule="auto"/>
        <w:rPr>
          <w:rFonts w:ascii="Times New Roman" w:hAnsi="Times New Roman" w:cs="Times New Roman"/>
          <w:sz w:val="24"/>
          <w:szCs w:val="24"/>
        </w:rPr>
      </w:pPr>
    </w:p>
    <w:p w14:paraId="28C6E1D4" w14:textId="77777777" w:rsidR="00F863FD" w:rsidRPr="002E3ED0" w:rsidRDefault="00F863FD">
      <w:pPr>
        <w:spacing w:after="160" w:line="259" w:lineRule="auto"/>
        <w:rPr>
          <w:rFonts w:ascii="Times New Roman" w:hAnsi="Times New Roman" w:cs="Times New Roman"/>
          <w:b/>
          <w:bCs/>
          <w:sz w:val="24"/>
          <w:szCs w:val="24"/>
        </w:rPr>
      </w:pPr>
      <w:r w:rsidRPr="002E3ED0">
        <w:rPr>
          <w:rFonts w:ascii="Times New Roman" w:hAnsi="Times New Roman" w:cs="Times New Roman"/>
          <w:b/>
          <w:bCs/>
          <w:sz w:val="24"/>
          <w:szCs w:val="24"/>
        </w:rPr>
        <w:br w:type="page"/>
      </w:r>
    </w:p>
    <w:p w14:paraId="1DA9ADDF" w14:textId="257A3609" w:rsidR="00F863FD" w:rsidRPr="002E3ED0" w:rsidRDefault="00F863FD" w:rsidP="00F863FD">
      <w:pPr>
        <w:spacing w:line="360" w:lineRule="auto"/>
        <w:jc w:val="center"/>
        <w:rPr>
          <w:rFonts w:ascii="Times New Roman" w:hAnsi="Times New Roman" w:cs="Times New Roman"/>
          <w:b/>
          <w:bCs/>
          <w:sz w:val="24"/>
          <w:szCs w:val="24"/>
        </w:rPr>
      </w:pPr>
      <w:r w:rsidRPr="002E3ED0">
        <w:rPr>
          <w:rFonts w:ascii="Times New Roman" w:hAnsi="Times New Roman" w:cs="Times New Roman"/>
          <w:b/>
          <w:bCs/>
          <w:sz w:val="24"/>
          <w:szCs w:val="24"/>
        </w:rPr>
        <w:lastRenderedPageBreak/>
        <w:t>DECLARATATION</w:t>
      </w:r>
    </w:p>
    <w:p w14:paraId="1180146A" w14:textId="77777777" w:rsidR="00F863FD" w:rsidRPr="002E3ED0" w:rsidRDefault="00F863FD" w:rsidP="00F863FD">
      <w:pPr>
        <w:spacing w:line="360" w:lineRule="auto"/>
        <w:jc w:val="both"/>
        <w:rPr>
          <w:rFonts w:ascii="Times New Roman" w:hAnsi="Times New Roman" w:cs="Times New Roman"/>
          <w:sz w:val="24"/>
          <w:szCs w:val="24"/>
        </w:rPr>
      </w:pPr>
      <w:r w:rsidRPr="002E3ED0">
        <w:rPr>
          <w:rFonts w:ascii="Times New Roman" w:hAnsi="Times New Roman" w:cs="Times New Roman"/>
          <w:sz w:val="24"/>
          <w:szCs w:val="24"/>
        </w:rPr>
        <w:t xml:space="preserve">Please add the following paragraph: </w:t>
      </w:r>
    </w:p>
    <w:p w14:paraId="799BE48C" w14:textId="66E1F85D" w:rsidR="00F863FD" w:rsidRPr="002E3ED0" w:rsidRDefault="00F863FD" w:rsidP="00F863FD">
      <w:pPr>
        <w:pStyle w:val="paragraph"/>
        <w:spacing w:before="0" w:beforeAutospacing="0" w:after="0" w:afterAutospacing="0" w:line="360" w:lineRule="auto"/>
        <w:jc w:val="both"/>
        <w:textAlignment w:val="baseline"/>
      </w:pPr>
      <w:r w:rsidRPr="002E3ED0">
        <w:rPr>
          <w:rStyle w:val="normaltextrun"/>
        </w:rPr>
        <w:t>I, Amir Sohail,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2E3ED0">
        <w:rPr>
          <w:rStyle w:val="eop"/>
        </w:rPr>
        <w:t> </w:t>
      </w:r>
    </w:p>
    <w:p w14:paraId="2CEE1265" w14:textId="003808D9" w:rsidR="00F863FD" w:rsidRPr="002E3ED0" w:rsidRDefault="00F863FD" w:rsidP="00F863FD">
      <w:pPr>
        <w:pStyle w:val="paragraph"/>
        <w:spacing w:before="0" w:beforeAutospacing="0" w:after="0" w:afterAutospacing="0" w:line="360" w:lineRule="auto"/>
        <w:jc w:val="both"/>
        <w:textAlignment w:val="baseline"/>
      </w:pPr>
      <w:r w:rsidRPr="002E3ED0">
        <w:rPr>
          <w:rStyle w:val="normaltextrun"/>
        </w:rPr>
        <w:t xml:space="preserve">Signature: </w:t>
      </w:r>
      <w:r w:rsidRPr="002E3ED0">
        <w:rPr>
          <w:rStyle w:val="normaltextrun"/>
          <w:i/>
          <w:iCs/>
        </w:rPr>
        <w:t>Amir Sohail</w:t>
      </w:r>
      <w:r w:rsidRPr="002E3ED0">
        <w:rPr>
          <w:rStyle w:val="eop"/>
        </w:rPr>
        <w:t> </w:t>
      </w:r>
    </w:p>
    <w:p w14:paraId="44446A0F" w14:textId="77777777" w:rsidR="00F863FD" w:rsidRPr="002E3ED0" w:rsidRDefault="00F863FD" w:rsidP="00F863FD">
      <w:pPr>
        <w:pStyle w:val="paragraph"/>
        <w:spacing w:before="0" w:beforeAutospacing="0" w:after="0" w:afterAutospacing="0" w:line="360" w:lineRule="auto"/>
        <w:jc w:val="both"/>
        <w:textAlignment w:val="baseline"/>
      </w:pPr>
      <w:r w:rsidRPr="002E3ED0">
        <w:rPr>
          <w:rStyle w:val="eop"/>
        </w:rPr>
        <w:t> </w:t>
      </w:r>
    </w:p>
    <w:p w14:paraId="0FA5923A" w14:textId="4303ACF8" w:rsidR="00F863FD" w:rsidRPr="002E3ED0" w:rsidRDefault="00F863FD" w:rsidP="00F863FD">
      <w:pPr>
        <w:pStyle w:val="paragraph"/>
        <w:spacing w:before="0" w:beforeAutospacing="0" w:after="0" w:afterAutospacing="0" w:line="360" w:lineRule="auto"/>
        <w:jc w:val="both"/>
        <w:textAlignment w:val="baseline"/>
      </w:pPr>
      <w:r w:rsidRPr="002E3ED0">
        <w:rPr>
          <w:rStyle w:val="normaltextrun"/>
        </w:rPr>
        <w:t>Date: 28 August, 2026</w:t>
      </w:r>
    </w:p>
    <w:p w14:paraId="2338CB6B" w14:textId="77777777" w:rsidR="00EA4B6B" w:rsidRPr="002E3ED0" w:rsidRDefault="00EA4B6B" w:rsidP="00F863FD">
      <w:pPr>
        <w:spacing w:line="360" w:lineRule="auto"/>
        <w:jc w:val="both"/>
        <w:rPr>
          <w:rFonts w:ascii="Times New Roman" w:hAnsi="Times New Roman" w:cs="Times New Roman"/>
          <w:sz w:val="24"/>
          <w:szCs w:val="24"/>
        </w:rPr>
      </w:pPr>
    </w:p>
    <w:p w14:paraId="54E09F76" w14:textId="77777777" w:rsidR="00EA4B6B" w:rsidRPr="002E3ED0" w:rsidRDefault="00EA4B6B" w:rsidP="00875014">
      <w:pPr>
        <w:spacing w:line="360" w:lineRule="auto"/>
        <w:rPr>
          <w:rFonts w:ascii="Times New Roman" w:hAnsi="Times New Roman" w:cs="Times New Roman"/>
          <w:sz w:val="24"/>
          <w:szCs w:val="24"/>
        </w:rPr>
      </w:pPr>
    </w:p>
    <w:p w14:paraId="485258AB" w14:textId="77777777" w:rsidR="00EA4B6B" w:rsidRPr="002E3ED0" w:rsidRDefault="00EA4B6B" w:rsidP="00875014">
      <w:pPr>
        <w:spacing w:line="360" w:lineRule="auto"/>
        <w:rPr>
          <w:rFonts w:ascii="Times New Roman" w:hAnsi="Times New Roman" w:cs="Times New Roman"/>
          <w:sz w:val="24"/>
          <w:szCs w:val="24"/>
        </w:rPr>
      </w:pPr>
    </w:p>
    <w:p w14:paraId="1A207A0E" w14:textId="77777777" w:rsidR="00EA4B6B" w:rsidRPr="002E3ED0" w:rsidRDefault="00EA4B6B" w:rsidP="00875014">
      <w:pPr>
        <w:spacing w:line="360" w:lineRule="auto"/>
        <w:rPr>
          <w:rFonts w:ascii="Times New Roman" w:hAnsi="Times New Roman" w:cs="Times New Roman"/>
          <w:sz w:val="24"/>
          <w:szCs w:val="24"/>
        </w:rPr>
      </w:pPr>
    </w:p>
    <w:p w14:paraId="6AF72E12" w14:textId="77777777" w:rsidR="00EA4B6B" w:rsidRPr="002E3ED0" w:rsidRDefault="00EA4B6B" w:rsidP="00875014">
      <w:pPr>
        <w:spacing w:line="360" w:lineRule="auto"/>
        <w:rPr>
          <w:rFonts w:ascii="Times New Roman" w:hAnsi="Times New Roman" w:cs="Times New Roman"/>
          <w:sz w:val="24"/>
          <w:szCs w:val="24"/>
        </w:rPr>
      </w:pPr>
    </w:p>
    <w:p w14:paraId="27AF5137" w14:textId="77777777" w:rsidR="00EA4B6B" w:rsidRPr="002E3ED0" w:rsidRDefault="00EA4B6B" w:rsidP="00875014">
      <w:pPr>
        <w:spacing w:line="360" w:lineRule="auto"/>
        <w:rPr>
          <w:rFonts w:ascii="Times New Roman" w:hAnsi="Times New Roman" w:cs="Times New Roman"/>
          <w:sz w:val="24"/>
          <w:szCs w:val="24"/>
        </w:rPr>
      </w:pPr>
    </w:p>
    <w:p w14:paraId="0BCB7B62" w14:textId="77777777" w:rsidR="00EA4B6B" w:rsidRPr="002E3ED0" w:rsidRDefault="00EA4B6B" w:rsidP="00875014">
      <w:pPr>
        <w:spacing w:line="360" w:lineRule="auto"/>
        <w:rPr>
          <w:rFonts w:ascii="Times New Roman" w:hAnsi="Times New Roman" w:cs="Times New Roman"/>
          <w:sz w:val="24"/>
          <w:szCs w:val="24"/>
        </w:rPr>
      </w:pPr>
    </w:p>
    <w:p w14:paraId="45B4C188" w14:textId="77777777" w:rsidR="00EA4B6B" w:rsidRPr="002E3ED0" w:rsidRDefault="00EA4B6B" w:rsidP="00875014">
      <w:pPr>
        <w:spacing w:line="360" w:lineRule="auto"/>
        <w:rPr>
          <w:rFonts w:ascii="Times New Roman" w:hAnsi="Times New Roman" w:cs="Times New Roman"/>
          <w:sz w:val="24"/>
          <w:szCs w:val="24"/>
        </w:rPr>
      </w:pPr>
    </w:p>
    <w:p w14:paraId="42716A27" w14:textId="77777777" w:rsidR="00EA4B6B" w:rsidRPr="002E3ED0" w:rsidRDefault="00EA4B6B"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br w:type="page"/>
      </w:r>
    </w:p>
    <w:p w14:paraId="1087B186" w14:textId="77777777" w:rsidR="009B6F28" w:rsidRPr="002E3ED0" w:rsidRDefault="009B6F28" w:rsidP="009B6F28">
      <w:pPr>
        <w:spacing w:line="360" w:lineRule="auto"/>
        <w:jc w:val="center"/>
        <w:rPr>
          <w:rFonts w:ascii="Times New Roman" w:hAnsi="Times New Roman" w:cs="Times New Roman"/>
          <w:b/>
          <w:bCs/>
          <w:sz w:val="24"/>
          <w:szCs w:val="24"/>
        </w:rPr>
      </w:pPr>
      <w:r w:rsidRPr="002E3ED0">
        <w:rPr>
          <w:rFonts w:ascii="Times New Roman" w:hAnsi="Times New Roman" w:cs="Times New Roman"/>
          <w:b/>
          <w:bCs/>
          <w:sz w:val="24"/>
          <w:szCs w:val="24"/>
        </w:rPr>
        <w:lastRenderedPageBreak/>
        <w:t>Acknowledgments</w:t>
      </w:r>
    </w:p>
    <w:p w14:paraId="40B216A7" w14:textId="16F38EDD" w:rsidR="009B6F28" w:rsidRPr="002E3ED0" w:rsidRDefault="009B6F28" w:rsidP="009B6F28">
      <w:pPr>
        <w:spacing w:line="360" w:lineRule="auto"/>
        <w:jc w:val="center"/>
        <w:rPr>
          <w:rFonts w:ascii="Times New Roman" w:hAnsi="Times New Roman" w:cs="Times New Roman"/>
          <w:sz w:val="24"/>
          <w:szCs w:val="24"/>
        </w:rPr>
      </w:pPr>
      <w:r w:rsidRPr="002E3ED0">
        <w:rPr>
          <w:rFonts w:ascii="Times New Roman" w:hAnsi="Times New Roman" w:cs="Times New Roman"/>
          <w:sz w:val="24"/>
          <w:szCs w:val="24"/>
        </w:rPr>
        <w:t>I would like to thank my supervisor for their guidance, feedback, support and valuable input throughout this research process. Their expertise and encouragement ha</w:t>
      </w:r>
      <w:r w:rsidR="00BC0071">
        <w:rPr>
          <w:rFonts w:ascii="Times New Roman" w:hAnsi="Times New Roman" w:cs="Times New Roman"/>
          <w:sz w:val="24"/>
          <w:szCs w:val="24"/>
        </w:rPr>
        <w:t>ve</w:t>
      </w:r>
      <w:r w:rsidRPr="002E3ED0">
        <w:rPr>
          <w:rFonts w:ascii="Times New Roman" w:hAnsi="Times New Roman" w:cs="Times New Roman"/>
          <w:sz w:val="24"/>
          <w:szCs w:val="24"/>
        </w:rPr>
        <w:t xml:space="preserve"> been vital to the development of this dissertation.</w:t>
      </w:r>
    </w:p>
    <w:p w14:paraId="0B1BEE9F" w14:textId="77777777" w:rsidR="009B6F28" w:rsidRPr="002E3ED0" w:rsidRDefault="009B6F28" w:rsidP="009B6F28">
      <w:pPr>
        <w:spacing w:line="360" w:lineRule="auto"/>
        <w:jc w:val="center"/>
        <w:rPr>
          <w:rFonts w:ascii="Times New Roman" w:hAnsi="Times New Roman" w:cs="Times New Roman"/>
          <w:sz w:val="24"/>
          <w:szCs w:val="24"/>
        </w:rPr>
      </w:pPr>
    </w:p>
    <w:p w14:paraId="499DF718" w14:textId="18BC6BF6" w:rsidR="009B6F28" w:rsidRPr="002E3ED0" w:rsidRDefault="009B6F28" w:rsidP="009B6F28">
      <w:pPr>
        <w:spacing w:line="360" w:lineRule="auto"/>
        <w:jc w:val="center"/>
        <w:rPr>
          <w:rFonts w:ascii="Times New Roman" w:hAnsi="Times New Roman" w:cs="Times New Roman"/>
          <w:sz w:val="24"/>
          <w:szCs w:val="24"/>
        </w:rPr>
      </w:pPr>
      <w:r w:rsidRPr="002E3ED0">
        <w:rPr>
          <w:rFonts w:ascii="Times New Roman" w:hAnsi="Times New Roman" w:cs="Times New Roman"/>
          <w:sz w:val="24"/>
          <w:szCs w:val="24"/>
        </w:rPr>
        <w:t xml:space="preserve">I would also like to thank the staff of my academic and administrative institution for supplying me </w:t>
      </w:r>
      <w:r w:rsidR="00BC0071">
        <w:rPr>
          <w:rFonts w:ascii="Times New Roman" w:hAnsi="Times New Roman" w:cs="Times New Roman"/>
          <w:sz w:val="24"/>
          <w:szCs w:val="24"/>
        </w:rPr>
        <w:t xml:space="preserve">with </w:t>
      </w:r>
      <w:r w:rsidRPr="002E3ED0">
        <w:rPr>
          <w:rFonts w:ascii="Times New Roman" w:hAnsi="Times New Roman" w:cs="Times New Roman"/>
          <w:sz w:val="24"/>
          <w:szCs w:val="24"/>
        </w:rPr>
        <w:t>the required equipment and an environment that allowed me to carry out this systematic literature review.</w:t>
      </w:r>
    </w:p>
    <w:p w14:paraId="4C1D2970" w14:textId="77777777" w:rsidR="009B6F28" w:rsidRPr="002E3ED0" w:rsidRDefault="009B6F28" w:rsidP="009B6F28">
      <w:pPr>
        <w:spacing w:line="360" w:lineRule="auto"/>
        <w:jc w:val="center"/>
        <w:rPr>
          <w:rFonts w:ascii="Times New Roman" w:hAnsi="Times New Roman" w:cs="Times New Roman"/>
          <w:sz w:val="24"/>
          <w:szCs w:val="24"/>
        </w:rPr>
      </w:pPr>
    </w:p>
    <w:p w14:paraId="15CB7FBD" w14:textId="77777777" w:rsidR="009B6F28" w:rsidRPr="002E3ED0" w:rsidRDefault="009B6F28" w:rsidP="009B6F28">
      <w:pPr>
        <w:spacing w:line="360" w:lineRule="auto"/>
        <w:jc w:val="center"/>
        <w:rPr>
          <w:rFonts w:ascii="Times New Roman" w:hAnsi="Times New Roman" w:cs="Times New Roman"/>
          <w:sz w:val="24"/>
          <w:szCs w:val="24"/>
        </w:rPr>
      </w:pPr>
      <w:r w:rsidRPr="002E3ED0">
        <w:rPr>
          <w:rFonts w:ascii="Times New Roman" w:hAnsi="Times New Roman" w:cs="Times New Roman"/>
          <w:sz w:val="24"/>
          <w:szCs w:val="24"/>
        </w:rPr>
        <w:t>I would like to thank all those who have conducted research and written books which I used as the basis for this study. They have been truly invaluable in providing a foundation for understanding customer trust and perception of security in digital banking.</w:t>
      </w:r>
    </w:p>
    <w:p w14:paraId="3AF0252A" w14:textId="77777777" w:rsidR="009B6F28" w:rsidRPr="002E3ED0" w:rsidRDefault="009B6F28" w:rsidP="009B6F28">
      <w:pPr>
        <w:spacing w:line="360" w:lineRule="auto"/>
        <w:jc w:val="center"/>
        <w:rPr>
          <w:rFonts w:ascii="Times New Roman" w:hAnsi="Times New Roman" w:cs="Times New Roman"/>
          <w:sz w:val="24"/>
          <w:szCs w:val="24"/>
        </w:rPr>
      </w:pPr>
    </w:p>
    <w:p w14:paraId="29CE9C3E" w14:textId="334125DC" w:rsidR="009B6F28" w:rsidRPr="002E3ED0" w:rsidRDefault="009B6F28" w:rsidP="009B6F28">
      <w:pPr>
        <w:spacing w:line="360" w:lineRule="auto"/>
        <w:jc w:val="center"/>
        <w:rPr>
          <w:rFonts w:ascii="Times New Roman" w:hAnsi="Times New Roman" w:cs="Times New Roman"/>
          <w:sz w:val="24"/>
          <w:szCs w:val="24"/>
        </w:rPr>
      </w:pPr>
      <w:r w:rsidRPr="002E3ED0">
        <w:rPr>
          <w:rFonts w:ascii="Times New Roman" w:hAnsi="Times New Roman" w:cs="Times New Roman"/>
          <w:sz w:val="24"/>
          <w:szCs w:val="24"/>
        </w:rPr>
        <w:t xml:space="preserve">Lastly, I would like to express my deepest appreciation to my family and friends for their constant support, patience and understanding throughout the tough times of my research. They have been a source of motivation for </w:t>
      </w:r>
      <w:r w:rsidR="00BC0071">
        <w:rPr>
          <w:rFonts w:ascii="Times New Roman" w:hAnsi="Times New Roman" w:cs="Times New Roman"/>
          <w:sz w:val="24"/>
          <w:szCs w:val="24"/>
        </w:rPr>
        <w:t>me</w:t>
      </w:r>
      <w:r w:rsidRPr="002E3ED0">
        <w:rPr>
          <w:rFonts w:ascii="Times New Roman" w:hAnsi="Times New Roman" w:cs="Times New Roman"/>
          <w:sz w:val="24"/>
          <w:szCs w:val="24"/>
        </w:rPr>
        <w:t>. Their trust in my skills and support all the way is what must be credited in the making of this dissertation.</w:t>
      </w:r>
    </w:p>
    <w:p w14:paraId="764CC425" w14:textId="77777777" w:rsidR="009B6F28" w:rsidRPr="002E3ED0" w:rsidRDefault="009B6F28" w:rsidP="009B6F28">
      <w:pPr>
        <w:spacing w:line="360" w:lineRule="auto"/>
        <w:rPr>
          <w:rFonts w:ascii="Times New Roman" w:hAnsi="Times New Roman" w:cs="Times New Roman"/>
          <w:sz w:val="24"/>
          <w:szCs w:val="24"/>
        </w:rPr>
      </w:pPr>
    </w:p>
    <w:p w14:paraId="44DFFE50" w14:textId="77777777" w:rsidR="009B6F28" w:rsidRPr="002E3ED0" w:rsidRDefault="009B6F28">
      <w:pPr>
        <w:spacing w:after="160" w:line="259" w:lineRule="auto"/>
        <w:rPr>
          <w:rFonts w:ascii="Times New Roman" w:hAnsi="Times New Roman" w:cs="Times New Roman"/>
          <w:sz w:val="24"/>
          <w:szCs w:val="24"/>
        </w:rPr>
      </w:pPr>
      <w:r w:rsidRPr="002E3ED0">
        <w:rPr>
          <w:rFonts w:ascii="Times New Roman" w:hAnsi="Times New Roman" w:cs="Times New Roman"/>
          <w:sz w:val="24"/>
          <w:szCs w:val="24"/>
        </w:rPr>
        <w:br w:type="page"/>
      </w:r>
    </w:p>
    <w:p w14:paraId="7A0DC689" w14:textId="2788C450" w:rsidR="009B6F28" w:rsidRPr="002E3ED0" w:rsidRDefault="009B6F28" w:rsidP="009B6F28">
      <w:pPr>
        <w:spacing w:line="360" w:lineRule="auto"/>
        <w:jc w:val="center"/>
        <w:rPr>
          <w:rFonts w:ascii="Times New Roman" w:hAnsi="Times New Roman" w:cs="Times New Roman"/>
          <w:b/>
          <w:bCs/>
          <w:sz w:val="24"/>
          <w:szCs w:val="24"/>
        </w:rPr>
      </w:pPr>
      <w:r w:rsidRPr="002E3ED0">
        <w:rPr>
          <w:rFonts w:ascii="Times New Roman" w:hAnsi="Times New Roman" w:cs="Times New Roman"/>
          <w:b/>
          <w:bCs/>
          <w:sz w:val="24"/>
          <w:szCs w:val="24"/>
        </w:rPr>
        <w:lastRenderedPageBreak/>
        <w:t>Abstract</w:t>
      </w:r>
    </w:p>
    <w:p w14:paraId="197BDF5E" w14:textId="34F39690" w:rsidR="009B6F28" w:rsidRPr="002E3ED0" w:rsidRDefault="009B6F28" w:rsidP="009B6F28">
      <w:pPr>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t xml:space="preserve">This systematic literature review critically analyses customer trust and security perception in the context of digital banking in the UK, highlighting the fragmentation in the existing literature with only 17.9% of studies incorporating the three elements of technology, behaviour and regulations. The 628 records from academic sources (Scopus, Web of Science, Google Scholar, Science Direct) and grey literature (UK Finance, FCA, PSR, Bank of England) were screened in line with the PRISMA guidelines and 25 studies were included in the thematic analysis. The Technology Acceptance Model (TAM) was selected as the theoretical framework, and an interpretivist philosophy was coupled with a deductive approach, which resulted in three broad themes: Technological Factors (cybersecurity, privacy protection), Behavioural Factors (perceived risk, digital literacy), and Regulatory Factors (compliance, fraud prevention). Results indicate that perceived security is not a single construct and </w:t>
      </w:r>
      <w:r w:rsidR="00BC0071">
        <w:rPr>
          <w:rFonts w:ascii="Times New Roman" w:hAnsi="Times New Roman" w:cs="Times New Roman"/>
          <w:sz w:val="24"/>
          <w:szCs w:val="24"/>
        </w:rPr>
        <w:t xml:space="preserve">that </w:t>
      </w:r>
      <w:r w:rsidRPr="002E3ED0">
        <w:rPr>
          <w:rFonts w:ascii="Times New Roman" w:hAnsi="Times New Roman" w:cs="Times New Roman"/>
          <w:sz w:val="24"/>
          <w:szCs w:val="24"/>
        </w:rPr>
        <w:t>authentication technologies have different risk perceptions. Evidence specifically for people in the UK indicates that there is a very strong link between the adoption intention of older customers (55+) and cybersecurity risk as a factor, but no significant effect from trust exists when cybersecurity risk is accounted for. In regulatory analysis, a potential moral hazard is that mandated fraud reimbursement could result in a decline in customer vigilance. The review outlines a framework suggesting the need for UK-specific, longitudinal research that focuses on the interconnections between technological, behavioural and regulatory factors and how they impact on customer trust in digital banking, along with a research agenda for the future.</w:t>
      </w:r>
    </w:p>
    <w:p w14:paraId="42AE4CDC" w14:textId="59CF62B5" w:rsidR="009B6F28" w:rsidRPr="002E3ED0" w:rsidRDefault="009B6F28" w:rsidP="009B6F28">
      <w:pPr>
        <w:spacing w:line="360" w:lineRule="auto"/>
        <w:ind w:firstLine="720"/>
        <w:jc w:val="both"/>
        <w:rPr>
          <w:rFonts w:ascii="Times New Roman" w:hAnsi="Times New Roman" w:cs="Times New Roman"/>
          <w:color w:val="0F1115"/>
          <w:shd w:val="clear" w:color="auto" w:fill="FFFFFF"/>
        </w:rPr>
      </w:pPr>
      <w:r w:rsidRPr="002E3ED0">
        <w:rPr>
          <w:rStyle w:val="Strong"/>
          <w:rFonts w:ascii="Times New Roman" w:hAnsi="Times New Roman" w:cs="Times New Roman"/>
          <w:color w:val="0F1115"/>
          <w:shd w:val="clear" w:color="auto" w:fill="FFFFFF"/>
        </w:rPr>
        <w:t>Keywords:</w:t>
      </w:r>
      <w:r w:rsidRPr="002E3ED0">
        <w:rPr>
          <w:rFonts w:ascii="Times New Roman" w:hAnsi="Times New Roman" w:cs="Times New Roman"/>
          <w:color w:val="0F1115"/>
          <w:shd w:val="clear" w:color="auto" w:fill="FFFFFF"/>
        </w:rPr>
        <w:t> Digital banking, customer trust, security perception, systematic literature review, UK banking, perceived risk, regulatory compliance.</w:t>
      </w:r>
    </w:p>
    <w:p w14:paraId="040A8D3A" w14:textId="77777777" w:rsidR="009B6F28" w:rsidRPr="002E3ED0" w:rsidRDefault="009B6F28">
      <w:pPr>
        <w:spacing w:after="160" w:line="259" w:lineRule="auto"/>
        <w:rPr>
          <w:rFonts w:ascii="Times New Roman" w:hAnsi="Times New Roman" w:cs="Times New Roman"/>
          <w:color w:val="0F1115"/>
          <w:shd w:val="clear" w:color="auto" w:fill="FFFFFF"/>
        </w:rPr>
      </w:pPr>
      <w:r w:rsidRPr="002E3ED0">
        <w:rPr>
          <w:rFonts w:ascii="Times New Roman" w:hAnsi="Times New Roman" w:cs="Times New Roman"/>
          <w:color w:val="0F1115"/>
          <w:shd w:val="clear" w:color="auto" w:fill="FFFFFF"/>
        </w:rPr>
        <w:br w:type="page"/>
      </w:r>
    </w:p>
    <w:sdt>
      <w:sdtPr>
        <w:rPr>
          <w:rFonts w:ascii="Times New Roman" w:eastAsia="Calibri" w:hAnsi="Times New Roman" w:cs="Times New Roman"/>
          <w:color w:val="auto"/>
          <w:sz w:val="24"/>
          <w:szCs w:val="24"/>
        </w:rPr>
        <w:id w:val="1035699947"/>
        <w:docPartObj>
          <w:docPartGallery w:val="Table of Contents"/>
          <w:docPartUnique/>
        </w:docPartObj>
      </w:sdtPr>
      <w:sdtEndPr>
        <w:rPr>
          <w:b/>
          <w:bCs/>
          <w:noProof/>
        </w:rPr>
      </w:sdtEndPr>
      <w:sdtContent>
        <w:p w14:paraId="14023BA7" w14:textId="77777777" w:rsidR="00EA4B6B" w:rsidRPr="002E3ED0" w:rsidRDefault="00EA4B6B" w:rsidP="00875014">
          <w:pPr>
            <w:pStyle w:val="TOCHeading"/>
            <w:spacing w:before="0" w:line="360" w:lineRule="auto"/>
            <w:jc w:val="center"/>
            <w:rPr>
              <w:rFonts w:ascii="Times New Roman" w:hAnsi="Times New Roman" w:cs="Times New Roman"/>
              <w:sz w:val="24"/>
              <w:szCs w:val="24"/>
            </w:rPr>
          </w:pPr>
          <w:r w:rsidRPr="002E3ED0">
            <w:rPr>
              <w:rFonts w:ascii="Times New Roman" w:hAnsi="Times New Roman" w:cs="Times New Roman"/>
              <w:sz w:val="24"/>
              <w:szCs w:val="24"/>
            </w:rPr>
            <w:t>Table of Contents</w:t>
          </w:r>
        </w:p>
        <w:p w14:paraId="25448C71" w14:textId="79B39E39" w:rsidR="00BC0071" w:rsidRPr="00BC0071" w:rsidRDefault="00EA4B6B">
          <w:pPr>
            <w:pStyle w:val="TOC1"/>
            <w:tabs>
              <w:tab w:val="left" w:pos="440"/>
              <w:tab w:val="right" w:leader="dot" w:pos="9350"/>
            </w:tabs>
            <w:rPr>
              <w:rFonts w:asciiTheme="minorHAnsi" w:eastAsiaTheme="minorEastAsia" w:hAnsiTheme="minorHAnsi" w:cstheme="minorBidi"/>
              <w:noProof/>
              <w:kern w:val="2"/>
              <w:sz w:val="24"/>
              <w:szCs w:val="24"/>
              <w14:ligatures w14:val="standardContextual"/>
            </w:rPr>
          </w:pPr>
          <w:r w:rsidRPr="002E3ED0">
            <w:rPr>
              <w:rFonts w:ascii="Times New Roman" w:hAnsi="Times New Roman" w:cs="Times New Roman"/>
              <w:sz w:val="24"/>
              <w:szCs w:val="24"/>
            </w:rPr>
            <w:fldChar w:fldCharType="begin"/>
          </w:r>
          <w:r w:rsidRPr="002E3ED0">
            <w:rPr>
              <w:rFonts w:ascii="Times New Roman" w:hAnsi="Times New Roman" w:cs="Times New Roman"/>
              <w:sz w:val="24"/>
              <w:szCs w:val="24"/>
            </w:rPr>
            <w:instrText xml:space="preserve"> TOC \o "1-3" \h \z \u </w:instrText>
          </w:r>
          <w:r w:rsidRPr="002E3ED0">
            <w:rPr>
              <w:rFonts w:ascii="Times New Roman" w:hAnsi="Times New Roman" w:cs="Times New Roman"/>
              <w:sz w:val="24"/>
              <w:szCs w:val="24"/>
            </w:rPr>
            <w:fldChar w:fldCharType="separate"/>
          </w:r>
          <w:hyperlink w:anchor="_Toc238751460" w:history="1">
            <w:r w:rsidR="00BC0071" w:rsidRPr="00BC0071">
              <w:rPr>
                <w:rStyle w:val="Hyperlink"/>
                <w:noProof/>
                <w:sz w:val="24"/>
                <w:szCs w:val="24"/>
              </w:rPr>
              <w:t>1.</w:t>
            </w:r>
            <w:r w:rsidR="00BC0071" w:rsidRPr="00BC0071">
              <w:rPr>
                <w:rFonts w:asciiTheme="minorHAnsi" w:eastAsiaTheme="minorEastAsia" w:hAnsiTheme="minorHAnsi" w:cstheme="minorBidi"/>
                <w:noProof/>
                <w:kern w:val="2"/>
                <w:sz w:val="24"/>
                <w:szCs w:val="24"/>
                <w14:ligatures w14:val="standardContextual"/>
              </w:rPr>
              <w:tab/>
            </w:r>
            <w:r w:rsidR="00BC0071" w:rsidRPr="00BC0071">
              <w:rPr>
                <w:rStyle w:val="Hyperlink"/>
                <w:noProof/>
                <w:sz w:val="24"/>
                <w:szCs w:val="24"/>
              </w:rPr>
              <w:t>CHAPTER ONE: INTRODUCTION</w:t>
            </w:r>
            <w:r w:rsidR="00BC0071" w:rsidRPr="00BC0071">
              <w:rPr>
                <w:noProof/>
                <w:webHidden/>
                <w:sz w:val="24"/>
                <w:szCs w:val="24"/>
              </w:rPr>
              <w:tab/>
            </w:r>
            <w:r w:rsidR="00BC0071" w:rsidRPr="00BC0071">
              <w:rPr>
                <w:noProof/>
                <w:webHidden/>
                <w:sz w:val="24"/>
                <w:szCs w:val="24"/>
              </w:rPr>
              <w:fldChar w:fldCharType="begin"/>
            </w:r>
            <w:r w:rsidR="00BC0071" w:rsidRPr="00BC0071">
              <w:rPr>
                <w:noProof/>
                <w:webHidden/>
                <w:sz w:val="24"/>
                <w:szCs w:val="24"/>
              </w:rPr>
              <w:instrText xml:space="preserve"> PAGEREF _Toc238751460 \h </w:instrText>
            </w:r>
            <w:r w:rsidR="00BC0071" w:rsidRPr="00BC0071">
              <w:rPr>
                <w:noProof/>
                <w:webHidden/>
                <w:sz w:val="24"/>
                <w:szCs w:val="24"/>
              </w:rPr>
            </w:r>
            <w:r w:rsidR="00BC0071" w:rsidRPr="00BC0071">
              <w:rPr>
                <w:noProof/>
                <w:webHidden/>
                <w:sz w:val="24"/>
                <w:szCs w:val="24"/>
              </w:rPr>
              <w:fldChar w:fldCharType="separate"/>
            </w:r>
            <w:r w:rsidR="00BC0071" w:rsidRPr="00BC0071">
              <w:rPr>
                <w:noProof/>
                <w:webHidden/>
                <w:sz w:val="24"/>
                <w:szCs w:val="24"/>
              </w:rPr>
              <w:t>8</w:t>
            </w:r>
            <w:r w:rsidR="00BC0071" w:rsidRPr="00BC0071">
              <w:rPr>
                <w:noProof/>
                <w:webHidden/>
                <w:sz w:val="24"/>
                <w:szCs w:val="24"/>
              </w:rPr>
              <w:fldChar w:fldCharType="end"/>
            </w:r>
          </w:hyperlink>
        </w:p>
        <w:p w14:paraId="51CC8B43" w14:textId="2D99AA15"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461" w:history="1">
            <w:r w:rsidRPr="00BC0071">
              <w:rPr>
                <w:rStyle w:val="Hyperlink"/>
                <w:noProof/>
                <w:sz w:val="24"/>
                <w:szCs w:val="24"/>
              </w:rPr>
              <w:t>1.1.</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Research Background</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_Toc238751461 \h </w:instrText>
            </w:r>
            <w:r w:rsidRPr="00BC0071">
              <w:rPr>
                <w:noProof/>
                <w:webHidden/>
                <w:sz w:val="24"/>
                <w:szCs w:val="24"/>
              </w:rPr>
            </w:r>
            <w:r w:rsidRPr="00BC0071">
              <w:rPr>
                <w:noProof/>
                <w:webHidden/>
                <w:sz w:val="24"/>
                <w:szCs w:val="24"/>
              </w:rPr>
              <w:fldChar w:fldCharType="separate"/>
            </w:r>
            <w:r w:rsidRPr="00BC0071">
              <w:rPr>
                <w:noProof/>
                <w:webHidden/>
                <w:sz w:val="24"/>
                <w:szCs w:val="24"/>
              </w:rPr>
              <w:t>8</w:t>
            </w:r>
            <w:r w:rsidRPr="00BC0071">
              <w:rPr>
                <w:noProof/>
                <w:webHidden/>
                <w:sz w:val="24"/>
                <w:szCs w:val="24"/>
              </w:rPr>
              <w:fldChar w:fldCharType="end"/>
            </w:r>
          </w:hyperlink>
        </w:p>
        <w:p w14:paraId="2F077CBB" w14:textId="65ABED5E"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462" w:history="1">
            <w:r w:rsidRPr="00BC0071">
              <w:rPr>
                <w:rStyle w:val="Hyperlink"/>
                <w:noProof/>
                <w:sz w:val="24"/>
                <w:szCs w:val="24"/>
              </w:rPr>
              <w:t>1.2.</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Research Problem Statement</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_Toc238751462 \h </w:instrText>
            </w:r>
            <w:r w:rsidRPr="00BC0071">
              <w:rPr>
                <w:noProof/>
                <w:webHidden/>
                <w:sz w:val="24"/>
                <w:szCs w:val="24"/>
              </w:rPr>
            </w:r>
            <w:r w:rsidRPr="00BC0071">
              <w:rPr>
                <w:noProof/>
                <w:webHidden/>
                <w:sz w:val="24"/>
                <w:szCs w:val="24"/>
              </w:rPr>
              <w:fldChar w:fldCharType="separate"/>
            </w:r>
            <w:r w:rsidRPr="00BC0071">
              <w:rPr>
                <w:noProof/>
                <w:webHidden/>
                <w:sz w:val="24"/>
                <w:szCs w:val="24"/>
              </w:rPr>
              <w:t>9</w:t>
            </w:r>
            <w:r w:rsidRPr="00BC0071">
              <w:rPr>
                <w:noProof/>
                <w:webHidden/>
                <w:sz w:val="24"/>
                <w:szCs w:val="24"/>
              </w:rPr>
              <w:fldChar w:fldCharType="end"/>
            </w:r>
          </w:hyperlink>
        </w:p>
        <w:p w14:paraId="4D48E148" w14:textId="0BB2FDD3"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463" w:history="1">
            <w:r w:rsidRPr="00BC0071">
              <w:rPr>
                <w:rStyle w:val="Hyperlink"/>
                <w:noProof/>
                <w:sz w:val="24"/>
                <w:szCs w:val="24"/>
              </w:rPr>
              <w:t>1.3.</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Research Aim</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_Toc238751463 \h </w:instrText>
            </w:r>
            <w:r w:rsidRPr="00BC0071">
              <w:rPr>
                <w:noProof/>
                <w:webHidden/>
                <w:sz w:val="24"/>
                <w:szCs w:val="24"/>
              </w:rPr>
            </w:r>
            <w:r w:rsidRPr="00BC0071">
              <w:rPr>
                <w:noProof/>
                <w:webHidden/>
                <w:sz w:val="24"/>
                <w:szCs w:val="24"/>
              </w:rPr>
              <w:fldChar w:fldCharType="separate"/>
            </w:r>
            <w:r w:rsidRPr="00BC0071">
              <w:rPr>
                <w:noProof/>
                <w:webHidden/>
                <w:sz w:val="24"/>
                <w:szCs w:val="24"/>
              </w:rPr>
              <w:t>10</w:t>
            </w:r>
            <w:r w:rsidRPr="00BC0071">
              <w:rPr>
                <w:noProof/>
                <w:webHidden/>
                <w:sz w:val="24"/>
                <w:szCs w:val="24"/>
              </w:rPr>
              <w:fldChar w:fldCharType="end"/>
            </w:r>
          </w:hyperlink>
        </w:p>
        <w:p w14:paraId="7FF76EB4" w14:textId="237B8BC0"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464" w:history="1">
            <w:r w:rsidRPr="00BC0071">
              <w:rPr>
                <w:rStyle w:val="Hyperlink"/>
                <w:noProof/>
                <w:sz w:val="24"/>
                <w:szCs w:val="24"/>
              </w:rPr>
              <w:t>1.4.</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Research Objectives</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_Toc238751464 \h </w:instrText>
            </w:r>
            <w:r w:rsidRPr="00BC0071">
              <w:rPr>
                <w:noProof/>
                <w:webHidden/>
                <w:sz w:val="24"/>
                <w:szCs w:val="24"/>
              </w:rPr>
            </w:r>
            <w:r w:rsidRPr="00BC0071">
              <w:rPr>
                <w:noProof/>
                <w:webHidden/>
                <w:sz w:val="24"/>
                <w:szCs w:val="24"/>
              </w:rPr>
              <w:fldChar w:fldCharType="separate"/>
            </w:r>
            <w:r w:rsidRPr="00BC0071">
              <w:rPr>
                <w:noProof/>
                <w:webHidden/>
                <w:sz w:val="24"/>
                <w:szCs w:val="24"/>
              </w:rPr>
              <w:t>10</w:t>
            </w:r>
            <w:r w:rsidRPr="00BC0071">
              <w:rPr>
                <w:noProof/>
                <w:webHidden/>
                <w:sz w:val="24"/>
                <w:szCs w:val="24"/>
              </w:rPr>
              <w:fldChar w:fldCharType="end"/>
            </w:r>
          </w:hyperlink>
        </w:p>
        <w:p w14:paraId="525EF0A4" w14:textId="6C7E63E8"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465" w:history="1">
            <w:r w:rsidRPr="00BC0071">
              <w:rPr>
                <w:rStyle w:val="Hyperlink"/>
                <w:noProof/>
                <w:sz w:val="24"/>
                <w:szCs w:val="24"/>
              </w:rPr>
              <w:t>1.5.</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Research Questions</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_Toc238751465 \h </w:instrText>
            </w:r>
            <w:r w:rsidRPr="00BC0071">
              <w:rPr>
                <w:noProof/>
                <w:webHidden/>
                <w:sz w:val="24"/>
                <w:szCs w:val="24"/>
              </w:rPr>
            </w:r>
            <w:r w:rsidRPr="00BC0071">
              <w:rPr>
                <w:noProof/>
                <w:webHidden/>
                <w:sz w:val="24"/>
                <w:szCs w:val="24"/>
              </w:rPr>
              <w:fldChar w:fldCharType="separate"/>
            </w:r>
            <w:r w:rsidRPr="00BC0071">
              <w:rPr>
                <w:noProof/>
                <w:webHidden/>
                <w:sz w:val="24"/>
                <w:szCs w:val="24"/>
              </w:rPr>
              <w:t>10</w:t>
            </w:r>
            <w:r w:rsidRPr="00BC0071">
              <w:rPr>
                <w:noProof/>
                <w:webHidden/>
                <w:sz w:val="24"/>
                <w:szCs w:val="24"/>
              </w:rPr>
              <w:fldChar w:fldCharType="end"/>
            </w:r>
          </w:hyperlink>
        </w:p>
        <w:p w14:paraId="1F42AA28" w14:textId="6AAE3AC7"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466" w:history="1">
            <w:r w:rsidRPr="00BC0071">
              <w:rPr>
                <w:rStyle w:val="Hyperlink"/>
                <w:noProof/>
                <w:sz w:val="24"/>
                <w:szCs w:val="24"/>
              </w:rPr>
              <w:t>1.6.</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Research Significance or Relevance of the Study</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_Toc238751466 \h </w:instrText>
            </w:r>
            <w:r w:rsidRPr="00BC0071">
              <w:rPr>
                <w:noProof/>
                <w:webHidden/>
                <w:sz w:val="24"/>
                <w:szCs w:val="24"/>
              </w:rPr>
            </w:r>
            <w:r w:rsidRPr="00BC0071">
              <w:rPr>
                <w:noProof/>
                <w:webHidden/>
                <w:sz w:val="24"/>
                <w:szCs w:val="24"/>
              </w:rPr>
              <w:fldChar w:fldCharType="separate"/>
            </w:r>
            <w:r w:rsidRPr="00BC0071">
              <w:rPr>
                <w:noProof/>
                <w:webHidden/>
                <w:sz w:val="24"/>
                <w:szCs w:val="24"/>
              </w:rPr>
              <w:t>11</w:t>
            </w:r>
            <w:r w:rsidRPr="00BC0071">
              <w:rPr>
                <w:noProof/>
                <w:webHidden/>
                <w:sz w:val="24"/>
                <w:szCs w:val="24"/>
              </w:rPr>
              <w:fldChar w:fldCharType="end"/>
            </w:r>
          </w:hyperlink>
        </w:p>
        <w:p w14:paraId="5B868D8E" w14:textId="7DD994EB"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467" w:history="1">
            <w:r w:rsidRPr="00BC0071">
              <w:rPr>
                <w:rStyle w:val="Hyperlink"/>
                <w:noProof/>
                <w:sz w:val="24"/>
                <w:szCs w:val="24"/>
              </w:rPr>
              <w:t>1.7.</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Research Methodology Summary</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_Toc238751467 \h </w:instrText>
            </w:r>
            <w:r w:rsidRPr="00BC0071">
              <w:rPr>
                <w:noProof/>
                <w:webHidden/>
                <w:sz w:val="24"/>
                <w:szCs w:val="24"/>
              </w:rPr>
            </w:r>
            <w:r w:rsidRPr="00BC0071">
              <w:rPr>
                <w:noProof/>
                <w:webHidden/>
                <w:sz w:val="24"/>
                <w:szCs w:val="24"/>
              </w:rPr>
              <w:fldChar w:fldCharType="separate"/>
            </w:r>
            <w:r w:rsidRPr="00BC0071">
              <w:rPr>
                <w:noProof/>
                <w:webHidden/>
                <w:sz w:val="24"/>
                <w:szCs w:val="24"/>
              </w:rPr>
              <w:t>11</w:t>
            </w:r>
            <w:r w:rsidRPr="00BC0071">
              <w:rPr>
                <w:noProof/>
                <w:webHidden/>
                <w:sz w:val="24"/>
                <w:szCs w:val="24"/>
              </w:rPr>
              <w:fldChar w:fldCharType="end"/>
            </w:r>
          </w:hyperlink>
        </w:p>
        <w:p w14:paraId="53F1764C" w14:textId="0151AF15"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468" w:history="1">
            <w:r w:rsidRPr="00BC0071">
              <w:rPr>
                <w:rStyle w:val="Hyperlink"/>
                <w:noProof/>
                <w:sz w:val="24"/>
                <w:szCs w:val="24"/>
              </w:rPr>
              <w:t>1.8.</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Research Outline</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_Toc238751468 \h </w:instrText>
            </w:r>
            <w:r w:rsidRPr="00BC0071">
              <w:rPr>
                <w:noProof/>
                <w:webHidden/>
                <w:sz w:val="24"/>
                <w:szCs w:val="24"/>
              </w:rPr>
            </w:r>
            <w:r w:rsidRPr="00BC0071">
              <w:rPr>
                <w:noProof/>
                <w:webHidden/>
                <w:sz w:val="24"/>
                <w:szCs w:val="24"/>
              </w:rPr>
              <w:fldChar w:fldCharType="separate"/>
            </w:r>
            <w:r w:rsidRPr="00BC0071">
              <w:rPr>
                <w:noProof/>
                <w:webHidden/>
                <w:sz w:val="24"/>
                <w:szCs w:val="24"/>
              </w:rPr>
              <w:t>12</w:t>
            </w:r>
            <w:r w:rsidRPr="00BC0071">
              <w:rPr>
                <w:noProof/>
                <w:webHidden/>
                <w:sz w:val="24"/>
                <w:szCs w:val="24"/>
              </w:rPr>
              <w:fldChar w:fldCharType="end"/>
            </w:r>
          </w:hyperlink>
        </w:p>
        <w:p w14:paraId="71542928" w14:textId="32A03682" w:rsidR="00BC0071" w:rsidRPr="00BC0071" w:rsidRDefault="00BC0071">
          <w:pPr>
            <w:pStyle w:val="TOC1"/>
            <w:tabs>
              <w:tab w:val="left" w:pos="440"/>
              <w:tab w:val="right" w:leader="dot" w:pos="9350"/>
            </w:tabs>
            <w:rPr>
              <w:rFonts w:asciiTheme="minorHAnsi" w:eastAsiaTheme="minorEastAsia" w:hAnsiTheme="minorHAnsi" w:cstheme="minorBidi"/>
              <w:noProof/>
              <w:kern w:val="2"/>
              <w:sz w:val="24"/>
              <w:szCs w:val="24"/>
              <w14:ligatures w14:val="standardContextual"/>
            </w:rPr>
          </w:pPr>
          <w:hyperlink w:anchor="_Toc238751469" w:history="1">
            <w:r w:rsidRPr="00BC0071">
              <w:rPr>
                <w:rStyle w:val="Hyperlink"/>
                <w:noProof/>
                <w:sz w:val="24"/>
                <w:szCs w:val="24"/>
              </w:rPr>
              <w:t>2.</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CHAPTER TWO: LITERATURE REVIEW</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_Toc238751469 \h </w:instrText>
            </w:r>
            <w:r w:rsidRPr="00BC0071">
              <w:rPr>
                <w:noProof/>
                <w:webHidden/>
                <w:sz w:val="24"/>
                <w:szCs w:val="24"/>
              </w:rPr>
            </w:r>
            <w:r w:rsidRPr="00BC0071">
              <w:rPr>
                <w:noProof/>
                <w:webHidden/>
                <w:sz w:val="24"/>
                <w:szCs w:val="24"/>
              </w:rPr>
              <w:fldChar w:fldCharType="separate"/>
            </w:r>
            <w:r w:rsidRPr="00BC0071">
              <w:rPr>
                <w:noProof/>
                <w:webHidden/>
                <w:sz w:val="24"/>
                <w:szCs w:val="24"/>
              </w:rPr>
              <w:t>13</w:t>
            </w:r>
            <w:r w:rsidRPr="00BC0071">
              <w:rPr>
                <w:noProof/>
                <w:webHidden/>
                <w:sz w:val="24"/>
                <w:szCs w:val="24"/>
              </w:rPr>
              <w:fldChar w:fldCharType="end"/>
            </w:r>
          </w:hyperlink>
        </w:p>
        <w:p w14:paraId="44BBE4C8" w14:textId="13067102"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470" w:history="1">
            <w:r w:rsidRPr="00BC0071">
              <w:rPr>
                <w:rStyle w:val="Hyperlink"/>
                <w:noProof/>
                <w:sz w:val="24"/>
                <w:szCs w:val="24"/>
              </w:rPr>
              <w:t>2.1.</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Chapter Introduction</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_Toc238751470 \h </w:instrText>
            </w:r>
            <w:r w:rsidRPr="00BC0071">
              <w:rPr>
                <w:noProof/>
                <w:webHidden/>
                <w:sz w:val="24"/>
                <w:szCs w:val="24"/>
              </w:rPr>
            </w:r>
            <w:r w:rsidRPr="00BC0071">
              <w:rPr>
                <w:noProof/>
                <w:webHidden/>
                <w:sz w:val="24"/>
                <w:szCs w:val="24"/>
              </w:rPr>
              <w:fldChar w:fldCharType="separate"/>
            </w:r>
            <w:r w:rsidRPr="00BC0071">
              <w:rPr>
                <w:noProof/>
                <w:webHidden/>
                <w:sz w:val="24"/>
                <w:szCs w:val="24"/>
              </w:rPr>
              <w:t>13</w:t>
            </w:r>
            <w:r w:rsidRPr="00BC0071">
              <w:rPr>
                <w:noProof/>
                <w:webHidden/>
                <w:sz w:val="24"/>
                <w:szCs w:val="24"/>
              </w:rPr>
              <w:fldChar w:fldCharType="end"/>
            </w:r>
          </w:hyperlink>
        </w:p>
        <w:p w14:paraId="7744B33B" w14:textId="5DC7CFDF"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471" w:history="1">
            <w:r w:rsidRPr="00BC0071">
              <w:rPr>
                <w:rStyle w:val="Hyperlink"/>
                <w:noProof/>
                <w:sz w:val="24"/>
                <w:szCs w:val="24"/>
              </w:rPr>
              <w:t>2.2.</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Theoretical Framework</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_Toc238751471 \h </w:instrText>
            </w:r>
            <w:r w:rsidRPr="00BC0071">
              <w:rPr>
                <w:noProof/>
                <w:webHidden/>
                <w:sz w:val="24"/>
                <w:szCs w:val="24"/>
              </w:rPr>
            </w:r>
            <w:r w:rsidRPr="00BC0071">
              <w:rPr>
                <w:noProof/>
                <w:webHidden/>
                <w:sz w:val="24"/>
                <w:szCs w:val="24"/>
              </w:rPr>
              <w:fldChar w:fldCharType="separate"/>
            </w:r>
            <w:r w:rsidRPr="00BC0071">
              <w:rPr>
                <w:noProof/>
                <w:webHidden/>
                <w:sz w:val="24"/>
                <w:szCs w:val="24"/>
              </w:rPr>
              <w:t>13</w:t>
            </w:r>
            <w:r w:rsidRPr="00BC0071">
              <w:rPr>
                <w:noProof/>
                <w:webHidden/>
                <w:sz w:val="24"/>
                <w:szCs w:val="24"/>
              </w:rPr>
              <w:fldChar w:fldCharType="end"/>
            </w:r>
          </w:hyperlink>
        </w:p>
        <w:p w14:paraId="219CD1D3" w14:textId="714FA647" w:rsidR="00BC0071" w:rsidRPr="00BC0071" w:rsidRDefault="00BC0071">
          <w:pPr>
            <w:pStyle w:val="TOC3"/>
            <w:tabs>
              <w:tab w:val="left" w:pos="1200"/>
              <w:tab w:val="right" w:leader="dot" w:pos="9350"/>
            </w:tabs>
            <w:rPr>
              <w:rFonts w:asciiTheme="minorHAnsi" w:eastAsiaTheme="minorEastAsia" w:hAnsiTheme="minorHAnsi" w:cstheme="minorBidi"/>
              <w:noProof/>
              <w:kern w:val="2"/>
              <w:sz w:val="24"/>
              <w:szCs w:val="24"/>
              <w14:ligatures w14:val="standardContextual"/>
            </w:rPr>
          </w:pPr>
          <w:hyperlink w:anchor="_Toc238751472" w:history="1">
            <w:r w:rsidRPr="00BC0071">
              <w:rPr>
                <w:rStyle w:val="Hyperlink"/>
                <w:noProof/>
                <w:sz w:val="24"/>
                <w:szCs w:val="24"/>
              </w:rPr>
              <w:t>2.2.1.</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Technology Acceptance Model (TAM)</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_Toc238751472 \h </w:instrText>
            </w:r>
            <w:r w:rsidRPr="00BC0071">
              <w:rPr>
                <w:noProof/>
                <w:webHidden/>
                <w:sz w:val="24"/>
                <w:szCs w:val="24"/>
              </w:rPr>
            </w:r>
            <w:r w:rsidRPr="00BC0071">
              <w:rPr>
                <w:noProof/>
                <w:webHidden/>
                <w:sz w:val="24"/>
                <w:szCs w:val="24"/>
              </w:rPr>
              <w:fldChar w:fldCharType="separate"/>
            </w:r>
            <w:r w:rsidRPr="00BC0071">
              <w:rPr>
                <w:noProof/>
                <w:webHidden/>
                <w:sz w:val="24"/>
                <w:szCs w:val="24"/>
              </w:rPr>
              <w:t>13</w:t>
            </w:r>
            <w:r w:rsidRPr="00BC0071">
              <w:rPr>
                <w:noProof/>
                <w:webHidden/>
                <w:sz w:val="24"/>
                <w:szCs w:val="24"/>
              </w:rPr>
              <w:fldChar w:fldCharType="end"/>
            </w:r>
          </w:hyperlink>
        </w:p>
        <w:p w14:paraId="182A5B01" w14:textId="10807E83"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473" w:history="1">
            <w:r w:rsidRPr="00BC0071">
              <w:rPr>
                <w:rStyle w:val="Hyperlink"/>
                <w:noProof/>
                <w:sz w:val="24"/>
                <w:szCs w:val="24"/>
              </w:rPr>
              <w:t>2.3.</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Conceptual Review</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_Toc238751473 \h </w:instrText>
            </w:r>
            <w:r w:rsidRPr="00BC0071">
              <w:rPr>
                <w:noProof/>
                <w:webHidden/>
                <w:sz w:val="24"/>
                <w:szCs w:val="24"/>
              </w:rPr>
            </w:r>
            <w:r w:rsidRPr="00BC0071">
              <w:rPr>
                <w:noProof/>
                <w:webHidden/>
                <w:sz w:val="24"/>
                <w:szCs w:val="24"/>
              </w:rPr>
              <w:fldChar w:fldCharType="separate"/>
            </w:r>
            <w:r w:rsidRPr="00BC0071">
              <w:rPr>
                <w:noProof/>
                <w:webHidden/>
                <w:sz w:val="24"/>
                <w:szCs w:val="24"/>
              </w:rPr>
              <w:t>14</w:t>
            </w:r>
            <w:r w:rsidRPr="00BC0071">
              <w:rPr>
                <w:noProof/>
                <w:webHidden/>
                <w:sz w:val="24"/>
                <w:szCs w:val="24"/>
              </w:rPr>
              <w:fldChar w:fldCharType="end"/>
            </w:r>
          </w:hyperlink>
        </w:p>
        <w:p w14:paraId="2BF1F68D" w14:textId="183AF6FF" w:rsidR="00BC0071" w:rsidRPr="00BC0071" w:rsidRDefault="00BC0071">
          <w:pPr>
            <w:pStyle w:val="TOC3"/>
            <w:tabs>
              <w:tab w:val="left" w:pos="1200"/>
              <w:tab w:val="right" w:leader="dot" w:pos="9350"/>
            </w:tabs>
            <w:rPr>
              <w:rFonts w:asciiTheme="minorHAnsi" w:eastAsiaTheme="minorEastAsia" w:hAnsiTheme="minorHAnsi" w:cstheme="minorBidi"/>
              <w:noProof/>
              <w:kern w:val="2"/>
              <w:sz w:val="24"/>
              <w:szCs w:val="24"/>
              <w14:ligatures w14:val="standardContextual"/>
            </w:rPr>
          </w:pPr>
          <w:hyperlink w:anchor="_Toc238751474" w:history="1">
            <w:r w:rsidRPr="00BC0071">
              <w:rPr>
                <w:rStyle w:val="Hyperlink"/>
                <w:noProof/>
                <w:sz w:val="24"/>
                <w:szCs w:val="24"/>
              </w:rPr>
              <w:t>2.3.1.</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Digital Banking</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_Toc238751474 \h </w:instrText>
            </w:r>
            <w:r w:rsidRPr="00BC0071">
              <w:rPr>
                <w:noProof/>
                <w:webHidden/>
                <w:sz w:val="24"/>
                <w:szCs w:val="24"/>
              </w:rPr>
            </w:r>
            <w:r w:rsidRPr="00BC0071">
              <w:rPr>
                <w:noProof/>
                <w:webHidden/>
                <w:sz w:val="24"/>
                <w:szCs w:val="24"/>
              </w:rPr>
              <w:fldChar w:fldCharType="separate"/>
            </w:r>
            <w:r w:rsidRPr="00BC0071">
              <w:rPr>
                <w:noProof/>
                <w:webHidden/>
                <w:sz w:val="24"/>
                <w:szCs w:val="24"/>
              </w:rPr>
              <w:t>14</w:t>
            </w:r>
            <w:r w:rsidRPr="00BC0071">
              <w:rPr>
                <w:noProof/>
                <w:webHidden/>
                <w:sz w:val="24"/>
                <w:szCs w:val="24"/>
              </w:rPr>
              <w:fldChar w:fldCharType="end"/>
            </w:r>
          </w:hyperlink>
        </w:p>
        <w:p w14:paraId="7C8C5A1B" w14:textId="2240FD34" w:rsidR="00BC0071" w:rsidRPr="00BC0071" w:rsidRDefault="00BC0071">
          <w:pPr>
            <w:pStyle w:val="TOC3"/>
            <w:tabs>
              <w:tab w:val="left" w:pos="1200"/>
              <w:tab w:val="right" w:leader="dot" w:pos="9350"/>
            </w:tabs>
            <w:rPr>
              <w:rFonts w:asciiTheme="minorHAnsi" w:eastAsiaTheme="minorEastAsia" w:hAnsiTheme="minorHAnsi" w:cstheme="minorBidi"/>
              <w:noProof/>
              <w:kern w:val="2"/>
              <w:sz w:val="24"/>
              <w:szCs w:val="24"/>
              <w14:ligatures w14:val="standardContextual"/>
            </w:rPr>
          </w:pPr>
          <w:hyperlink w:anchor="_Toc238751475" w:history="1">
            <w:r w:rsidRPr="00BC0071">
              <w:rPr>
                <w:rStyle w:val="Hyperlink"/>
                <w:noProof/>
                <w:sz w:val="24"/>
                <w:szCs w:val="24"/>
              </w:rPr>
              <w:t>2.3.2.</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Customer Trust</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_Toc238751475 \h </w:instrText>
            </w:r>
            <w:r w:rsidRPr="00BC0071">
              <w:rPr>
                <w:noProof/>
                <w:webHidden/>
                <w:sz w:val="24"/>
                <w:szCs w:val="24"/>
              </w:rPr>
            </w:r>
            <w:r w:rsidRPr="00BC0071">
              <w:rPr>
                <w:noProof/>
                <w:webHidden/>
                <w:sz w:val="24"/>
                <w:szCs w:val="24"/>
              </w:rPr>
              <w:fldChar w:fldCharType="separate"/>
            </w:r>
            <w:r w:rsidRPr="00BC0071">
              <w:rPr>
                <w:noProof/>
                <w:webHidden/>
                <w:sz w:val="24"/>
                <w:szCs w:val="24"/>
              </w:rPr>
              <w:t>15</w:t>
            </w:r>
            <w:r w:rsidRPr="00BC0071">
              <w:rPr>
                <w:noProof/>
                <w:webHidden/>
                <w:sz w:val="24"/>
                <w:szCs w:val="24"/>
              </w:rPr>
              <w:fldChar w:fldCharType="end"/>
            </w:r>
          </w:hyperlink>
        </w:p>
        <w:p w14:paraId="2F69CAAD" w14:textId="1FBFAAEF" w:rsidR="00BC0071" w:rsidRPr="00BC0071" w:rsidRDefault="00BC0071">
          <w:pPr>
            <w:pStyle w:val="TOC3"/>
            <w:tabs>
              <w:tab w:val="left" w:pos="1200"/>
              <w:tab w:val="right" w:leader="dot" w:pos="9350"/>
            </w:tabs>
            <w:rPr>
              <w:rFonts w:asciiTheme="minorHAnsi" w:eastAsiaTheme="minorEastAsia" w:hAnsiTheme="minorHAnsi" w:cstheme="minorBidi"/>
              <w:noProof/>
              <w:kern w:val="2"/>
              <w:sz w:val="24"/>
              <w:szCs w:val="24"/>
              <w14:ligatures w14:val="standardContextual"/>
            </w:rPr>
          </w:pPr>
          <w:hyperlink w:anchor="_Toc238751476" w:history="1">
            <w:r w:rsidRPr="00BC0071">
              <w:rPr>
                <w:rStyle w:val="Hyperlink"/>
                <w:noProof/>
                <w:sz w:val="24"/>
                <w:szCs w:val="24"/>
              </w:rPr>
              <w:t>2.3.3.</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Security Perception</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_Toc238751476 \h </w:instrText>
            </w:r>
            <w:r w:rsidRPr="00BC0071">
              <w:rPr>
                <w:noProof/>
                <w:webHidden/>
                <w:sz w:val="24"/>
                <w:szCs w:val="24"/>
              </w:rPr>
            </w:r>
            <w:r w:rsidRPr="00BC0071">
              <w:rPr>
                <w:noProof/>
                <w:webHidden/>
                <w:sz w:val="24"/>
                <w:szCs w:val="24"/>
              </w:rPr>
              <w:fldChar w:fldCharType="separate"/>
            </w:r>
            <w:r w:rsidRPr="00BC0071">
              <w:rPr>
                <w:noProof/>
                <w:webHidden/>
                <w:sz w:val="24"/>
                <w:szCs w:val="24"/>
              </w:rPr>
              <w:t>15</w:t>
            </w:r>
            <w:r w:rsidRPr="00BC0071">
              <w:rPr>
                <w:noProof/>
                <w:webHidden/>
                <w:sz w:val="24"/>
                <w:szCs w:val="24"/>
              </w:rPr>
              <w:fldChar w:fldCharType="end"/>
            </w:r>
          </w:hyperlink>
        </w:p>
        <w:p w14:paraId="089114E9" w14:textId="75CFCCCD" w:rsidR="00BC0071" w:rsidRPr="00BC0071" w:rsidRDefault="00BC0071">
          <w:pPr>
            <w:pStyle w:val="TOC3"/>
            <w:tabs>
              <w:tab w:val="left" w:pos="1200"/>
              <w:tab w:val="right" w:leader="dot" w:pos="9350"/>
            </w:tabs>
            <w:rPr>
              <w:rFonts w:asciiTheme="minorHAnsi" w:eastAsiaTheme="minorEastAsia" w:hAnsiTheme="minorHAnsi" w:cstheme="minorBidi"/>
              <w:noProof/>
              <w:kern w:val="2"/>
              <w:sz w:val="24"/>
              <w:szCs w:val="24"/>
              <w14:ligatures w14:val="standardContextual"/>
            </w:rPr>
          </w:pPr>
          <w:hyperlink w:anchor="_Toc238751477" w:history="1">
            <w:r w:rsidRPr="00BC0071">
              <w:rPr>
                <w:rStyle w:val="Hyperlink"/>
                <w:noProof/>
                <w:sz w:val="24"/>
                <w:szCs w:val="24"/>
              </w:rPr>
              <w:t>2.3.4.</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Perceived Risk</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_Toc238751477 \h </w:instrText>
            </w:r>
            <w:r w:rsidRPr="00BC0071">
              <w:rPr>
                <w:noProof/>
                <w:webHidden/>
                <w:sz w:val="24"/>
                <w:szCs w:val="24"/>
              </w:rPr>
            </w:r>
            <w:r w:rsidRPr="00BC0071">
              <w:rPr>
                <w:noProof/>
                <w:webHidden/>
                <w:sz w:val="24"/>
                <w:szCs w:val="24"/>
              </w:rPr>
              <w:fldChar w:fldCharType="separate"/>
            </w:r>
            <w:r w:rsidRPr="00BC0071">
              <w:rPr>
                <w:noProof/>
                <w:webHidden/>
                <w:sz w:val="24"/>
                <w:szCs w:val="24"/>
              </w:rPr>
              <w:t>15</w:t>
            </w:r>
            <w:r w:rsidRPr="00BC0071">
              <w:rPr>
                <w:noProof/>
                <w:webHidden/>
                <w:sz w:val="24"/>
                <w:szCs w:val="24"/>
              </w:rPr>
              <w:fldChar w:fldCharType="end"/>
            </w:r>
          </w:hyperlink>
        </w:p>
        <w:p w14:paraId="40DBDBC0" w14:textId="154CA053"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478" w:history="1">
            <w:r w:rsidRPr="00BC0071">
              <w:rPr>
                <w:rStyle w:val="Hyperlink"/>
                <w:noProof/>
                <w:sz w:val="24"/>
                <w:szCs w:val="24"/>
              </w:rPr>
              <w:t>2.4.</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Technological Factors Influencing Customer Trust and Security Perception in UK Digital Banking</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_Toc238751478 \h </w:instrText>
            </w:r>
            <w:r w:rsidRPr="00BC0071">
              <w:rPr>
                <w:noProof/>
                <w:webHidden/>
                <w:sz w:val="24"/>
                <w:szCs w:val="24"/>
              </w:rPr>
            </w:r>
            <w:r w:rsidRPr="00BC0071">
              <w:rPr>
                <w:noProof/>
                <w:webHidden/>
                <w:sz w:val="24"/>
                <w:szCs w:val="24"/>
              </w:rPr>
              <w:fldChar w:fldCharType="separate"/>
            </w:r>
            <w:r w:rsidRPr="00BC0071">
              <w:rPr>
                <w:noProof/>
                <w:webHidden/>
                <w:sz w:val="24"/>
                <w:szCs w:val="24"/>
              </w:rPr>
              <w:t>15</w:t>
            </w:r>
            <w:r w:rsidRPr="00BC0071">
              <w:rPr>
                <w:noProof/>
                <w:webHidden/>
                <w:sz w:val="24"/>
                <w:szCs w:val="24"/>
              </w:rPr>
              <w:fldChar w:fldCharType="end"/>
            </w:r>
          </w:hyperlink>
        </w:p>
        <w:p w14:paraId="4D8A3BED" w14:textId="5AB0DE6D"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479" w:history="1">
            <w:r w:rsidRPr="00BC0071">
              <w:rPr>
                <w:rStyle w:val="Hyperlink"/>
                <w:noProof/>
                <w:sz w:val="24"/>
                <w:szCs w:val="24"/>
              </w:rPr>
              <w:t>2.5.</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Technological, Regulatory, and Behavioural Factors Influencing Customer Trust and Security Perception in UK Digital Banking</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_Toc238751479 \h </w:instrText>
            </w:r>
            <w:r w:rsidRPr="00BC0071">
              <w:rPr>
                <w:noProof/>
                <w:webHidden/>
                <w:sz w:val="24"/>
                <w:szCs w:val="24"/>
              </w:rPr>
            </w:r>
            <w:r w:rsidRPr="00BC0071">
              <w:rPr>
                <w:noProof/>
                <w:webHidden/>
                <w:sz w:val="24"/>
                <w:szCs w:val="24"/>
              </w:rPr>
              <w:fldChar w:fldCharType="separate"/>
            </w:r>
            <w:r w:rsidRPr="00BC0071">
              <w:rPr>
                <w:noProof/>
                <w:webHidden/>
                <w:sz w:val="24"/>
                <w:szCs w:val="24"/>
              </w:rPr>
              <w:t>18</w:t>
            </w:r>
            <w:r w:rsidRPr="00BC0071">
              <w:rPr>
                <w:noProof/>
                <w:webHidden/>
                <w:sz w:val="24"/>
                <w:szCs w:val="24"/>
              </w:rPr>
              <w:fldChar w:fldCharType="end"/>
            </w:r>
          </w:hyperlink>
        </w:p>
        <w:p w14:paraId="4B29D182" w14:textId="34E05693"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480" w:history="1">
            <w:r w:rsidRPr="00BC0071">
              <w:rPr>
                <w:rStyle w:val="Hyperlink"/>
                <w:noProof/>
                <w:sz w:val="24"/>
                <w:szCs w:val="24"/>
              </w:rPr>
              <w:t>2.6.</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Research Gaps and Future Research Agenda for Strengthening Trust in UK Digital Banking</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_Toc238751480 \h </w:instrText>
            </w:r>
            <w:r w:rsidRPr="00BC0071">
              <w:rPr>
                <w:noProof/>
                <w:webHidden/>
                <w:sz w:val="24"/>
                <w:szCs w:val="24"/>
              </w:rPr>
            </w:r>
            <w:r w:rsidRPr="00BC0071">
              <w:rPr>
                <w:noProof/>
                <w:webHidden/>
                <w:sz w:val="24"/>
                <w:szCs w:val="24"/>
              </w:rPr>
              <w:fldChar w:fldCharType="separate"/>
            </w:r>
            <w:r w:rsidRPr="00BC0071">
              <w:rPr>
                <w:noProof/>
                <w:webHidden/>
                <w:sz w:val="24"/>
                <w:szCs w:val="24"/>
              </w:rPr>
              <w:t>19</w:t>
            </w:r>
            <w:r w:rsidRPr="00BC0071">
              <w:rPr>
                <w:noProof/>
                <w:webHidden/>
                <w:sz w:val="24"/>
                <w:szCs w:val="24"/>
              </w:rPr>
              <w:fldChar w:fldCharType="end"/>
            </w:r>
          </w:hyperlink>
        </w:p>
        <w:p w14:paraId="1E573CF9" w14:textId="71DD7E4A"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481" w:history="1">
            <w:r w:rsidRPr="00BC0071">
              <w:rPr>
                <w:rStyle w:val="Hyperlink"/>
                <w:noProof/>
                <w:sz w:val="24"/>
                <w:szCs w:val="24"/>
              </w:rPr>
              <w:t>2.7.</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Chapter Summary</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_Toc238751481 \h </w:instrText>
            </w:r>
            <w:r w:rsidRPr="00BC0071">
              <w:rPr>
                <w:noProof/>
                <w:webHidden/>
                <w:sz w:val="24"/>
                <w:szCs w:val="24"/>
              </w:rPr>
            </w:r>
            <w:r w:rsidRPr="00BC0071">
              <w:rPr>
                <w:noProof/>
                <w:webHidden/>
                <w:sz w:val="24"/>
                <w:szCs w:val="24"/>
              </w:rPr>
              <w:fldChar w:fldCharType="separate"/>
            </w:r>
            <w:r w:rsidRPr="00BC0071">
              <w:rPr>
                <w:noProof/>
                <w:webHidden/>
                <w:sz w:val="24"/>
                <w:szCs w:val="24"/>
              </w:rPr>
              <w:t>21</w:t>
            </w:r>
            <w:r w:rsidRPr="00BC0071">
              <w:rPr>
                <w:noProof/>
                <w:webHidden/>
                <w:sz w:val="24"/>
                <w:szCs w:val="24"/>
              </w:rPr>
              <w:fldChar w:fldCharType="end"/>
            </w:r>
          </w:hyperlink>
        </w:p>
        <w:p w14:paraId="13CAE0A5" w14:textId="70C4793A" w:rsidR="00BC0071" w:rsidRPr="00BC0071" w:rsidRDefault="00BC0071">
          <w:pPr>
            <w:pStyle w:val="TOC1"/>
            <w:tabs>
              <w:tab w:val="left" w:pos="440"/>
              <w:tab w:val="right" w:leader="dot" w:pos="9350"/>
            </w:tabs>
            <w:rPr>
              <w:rFonts w:asciiTheme="minorHAnsi" w:eastAsiaTheme="minorEastAsia" w:hAnsiTheme="minorHAnsi" w:cstheme="minorBidi"/>
              <w:noProof/>
              <w:kern w:val="2"/>
              <w:sz w:val="24"/>
              <w:szCs w:val="24"/>
              <w14:ligatures w14:val="standardContextual"/>
            </w:rPr>
          </w:pPr>
          <w:hyperlink w:anchor="_Toc238751482" w:history="1">
            <w:r w:rsidRPr="00BC0071">
              <w:rPr>
                <w:rStyle w:val="Hyperlink"/>
                <w:noProof/>
                <w:sz w:val="24"/>
                <w:szCs w:val="24"/>
              </w:rPr>
              <w:t>3.</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CHAPTER THREE: RESEARCH METHODOLOGY</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_Toc238751482 \h </w:instrText>
            </w:r>
            <w:r w:rsidRPr="00BC0071">
              <w:rPr>
                <w:noProof/>
                <w:webHidden/>
                <w:sz w:val="24"/>
                <w:szCs w:val="24"/>
              </w:rPr>
            </w:r>
            <w:r w:rsidRPr="00BC0071">
              <w:rPr>
                <w:noProof/>
                <w:webHidden/>
                <w:sz w:val="24"/>
                <w:szCs w:val="24"/>
              </w:rPr>
              <w:fldChar w:fldCharType="separate"/>
            </w:r>
            <w:r w:rsidRPr="00BC0071">
              <w:rPr>
                <w:noProof/>
                <w:webHidden/>
                <w:sz w:val="24"/>
                <w:szCs w:val="24"/>
              </w:rPr>
              <w:t>22</w:t>
            </w:r>
            <w:r w:rsidRPr="00BC0071">
              <w:rPr>
                <w:noProof/>
                <w:webHidden/>
                <w:sz w:val="24"/>
                <w:szCs w:val="24"/>
              </w:rPr>
              <w:fldChar w:fldCharType="end"/>
            </w:r>
          </w:hyperlink>
        </w:p>
        <w:p w14:paraId="6918D8A7" w14:textId="08C83DE7"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483" w:history="1">
            <w:r w:rsidRPr="00BC0071">
              <w:rPr>
                <w:rStyle w:val="Hyperlink"/>
                <w:noProof/>
                <w:sz w:val="24"/>
                <w:szCs w:val="24"/>
              </w:rPr>
              <w:t>3.1.</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Chapter Overview</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_Toc238751483 \h </w:instrText>
            </w:r>
            <w:r w:rsidRPr="00BC0071">
              <w:rPr>
                <w:noProof/>
                <w:webHidden/>
                <w:sz w:val="24"/>
                <w:szCs w:val="24"/>
              </w:rPr>
            </w:r>
            <w:r w:rsidRPr="00BC0071">
              <w:rPr>
                <w:noProof/>
                <w:webHidden/>
                <w:sz w:val="24"/>
                <w:szCs w:val="24"/>
              </w:rPr>
              <w:fldChar w:fldCharType="separate"/>
            </w:r>
            <w:r w:rsidRPr="00BC0071">
              <w:rPr>
                <w:noProof/>
                <w:webHidden/>
                <w:sz w:val="24"/>
                <w:szCs w:val="24"/>
              </w:rPr>
              <w:t>22</w:t>
            </w:r>
            <w:r w:rsidRPr="00BC0071">
              <w:rPr>
                <w:noProof/>
                <w:webHidden/>
                <w:sz w:val="24"/>
                <w:szCs w:val="24"/>
              </w:rPr>
              <w:fldChar w:fldCharType="end"/>
            </w:r>
          </w:hyperlink>
        </w:p>
        <w:p w14:paraId="793C8024" w14:textId="3DEF6DBC"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484" w:history="1">
            <w:r w:rsidRPr="00BC0071">
              <w:rPr>
                <w:rStyle w:val="Hyperlink"/>
                <w:noProof/>
                <w:sz w:val="24"/>
                <w:szCs w:val="24"/>
              </w:rPr>
              <w:t>3.2.</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Research Philosophy</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_Toc238751484 \h </w:instrText>
            </w:r>
            <w:r w:rsidRPr="00BC0071">
              <w:rPr>
                <w:noProof/>
                <w:webHidden/>
                <w:sz w:val="24"/>
                <w:szCs w:val="24"/>
              </w:rPr>
            </w:r>
            <w:r w:rsidRPr="00BC0071">
              <w:rPr>
                <w:noProof/>
                <w:webHidden/>
                <w:sz w:val="24"/>
                <w:szCs w:val="24"/>
              </w:rPr>
              <w:fldChar w:fldCharType="separate"/>
            </w:r>
            <w:r w:rsidRPr="00BC0071">
              <w:rPr>
                <w:noProof/>
                <w:webHidden/>
                <w:sz w:val="24"/>
                <w:szCs w:val="24"/>
              </w:rPr>
              <w:t>23</w:t>
            </w:r>
            <w:r w:rsidRPr="00BC0071">
              <w:rPr>
                <w:noProof/>
                <w:webHidden/>
                <w:sz w:val="24"/>
                <w:szCs w:val="24"/>
              </w:rPr>
              <w:fldChar w:fldCharType="end"/>
            </w:r>
          </w:hyperlink>
        </w:p>
        <w:p w14:paraId="210CE07D" w14:textId="47F6AC04"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485" w:history="1">
            <w:r w:rsidRPr="00BC0071">
              <w:rPr>
                <w:rStyle w:val="Hyperlink"/>
                <w:noProof/>
                <w:sz w:val="24"/>
                <w:szCs w:val="24"/>
              </w:rPr>
              <w:t>3.3.</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Research Approach</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_Toc238751485 \h </w:instrText>
            </w:r>
            <w:r w:rsidRPr="00BC0071">
              <w:rPr>
                <w:noProof/>
                <w:webHidden/>
                <w:sz w:val="24"/>
                <w:szCs w:val="24"/>
              </w:rPr>
            </w:r>
            <w:r w:rsidRPr="00BC0071">
              <w:rPr>
                <w:noProof/>
                <w:webHidden/>
                <w:sz w:val="24"/>
                <w:szCs w:val="24"/>
              </w:rPr>
              <w:fldChar w:fldCharType="separate"/>
            </w:r>
            <w:r w:rsidRPr="00BC0071">
              <w:rPr>
                <w:noProof/>
                <w:webHidden/>
                <w:sz w:val="24"/>
                <w:szCs w:val="24"/>
              </w:rPr>
              <w:t>23</w:t>
            </w:r>
            <w:r w:rsidRPr="00BC0071">
              <w:rPr>
                <w:noProof/>
                <w:webHidden/>
                <w:sz w:val="24"/>
                <w:szCs w:val="24"/>
              </w:rPr>
              <w:fldChar w:fldCharType="end"/>
            </w:r>
          </w:hyperlink>
        </w:p>
        <w:p w14:paraId="060CD52F" w14:textId="5EEF8AD7"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486" w:history="1">
            <w:r w:rsidRPr="00BC0071">
              <w:rPr>
                <w:rStyle w:val="Hyperlink"/>
                <w:noProof/>
                <w:sz w:val="24"/>
                <w:szCs w:val="24"/>
              </w:rPr>
              <w:t>3.4.</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Research Design and Strategy</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_Toc238751486 \h </w:instrText>
            </w:r>
            <w:r w:rsidRPr="00BC0071">
              <w:rPr>
                <w:noProof/>
                <w:webHidden/>
                <w:sz w:val="24"/>
                <w:szCs w:val="24"/>
              </w:rPr>
            </w:r>
            <w:r w:rsidRPr="00BC0071">
              <w:rPr>
                <w:noProof/>
                <w:webHidden/>
                <w:sz w:val="24"/>
                <w:szCs w:val="24"/>
              </w:rPr>
              <w:fldChar w:fldCharType="separate"/>
            </w:r>
            <w:r w:rsidRPr="00BC0071">
              <w:rPr>
                <w:noProof/>
                <w:webHidden/>
                <w:sz w:val="24"/>
                <w:szCs w:val="24"/>
              </w:rPr>
              <w:t>24</w:t>
            </w:r>
            <w:r w:rsidRPr="00BC0071">
              <w:rPr>
                <w:noProof/>
                <w:webHidden/>
                <w:sz w:val="24"/>
                <w:szCs w:val="24"/>
              </w:rPr>
              <w:fldChar w:fldCharType="end"/>
            </w:r>
          </w:hyperlink>
        </w:p>
        <w:p w14:paraId="355B2146" w14:textId="0658E214"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487" w:history="1">
            <w:r w:rsidRPr="00BC0071">
              <w:rPr>
                <w:rStyle w:val="Hyperlink"/>
                <w:noProof/>
                <w:sz w:val="24"/>
                <w:szCs w:val="24"/>
              </w:rPr>
              <w:t>3.5.</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Search Strategy</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_Toc238751487 \h </w:instrText>
            </w:r>
            <w:r w:rsidRPr="00BC0071">
              <w:rPr>
                <w:noProof/>
                <w:webHidden/>
                <w:sz w:val="24"/>
                <w:szCs w:val="24"/>
              </w:rPr>
            </w:r>
            <w:r w:rsidRPr="00BC0071">
              <w:rPr>
                <w:noProof/>
                <w:webHidden/>
                <w:sz w:val="24"/>
                <w:szCs w:val="24"/>
              </w:rPr>
              <w:fldChar w:fldCharType="separate"/>
            </w:r>
            <w:r w:rsidRPr="00BC0071">
              <w:rPr>
                <w:noProof/>
                <w:webHidden/>
                <w:sz w:val="24"/>
                <w:szCs w:val="24"/>
              </w:rPr>
              <w:t>24</w:t>
            </w:r>
            <w:r w:rsidRPr="00BC0071">
              <w:rPr>
                <w:noProof/>
                <w:webHidden/>
                <w:sz w:val="24"/>
                <w:szCs w:val="24"/>
              </w:rPr>
              <w:fldChar w:fldCharType="end"/>
            </w:r>
          </w:hyperlink>
        </w:p>
        <w:p w14:paraId="041852ED" w14:textId="7CBB88E4"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488" w:history="1">
            <w:r w:rsidRPr="00BC0071">
              <w:rPr>
                <w:rStyle w:val="Hyperlink"/>
                <w:noProof/>
                <w:sz w:val="24"/>
                <w:szCs w:val="24"/>
              </w:rPr>
              <w:t>3.6.</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Study Population</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_Toc238751488 \h </w:instrText>
            </w:r>
            <w:r w:rsidRPr="00BC0071">
              <w:rPr>
                <w:noProof/>
                <w:webHidden/>
                <w:sz w:val="24"/>
                <w:szCs w:val="24"/>
              </w:rPr>
            </w:r>
            <w:r w:rsidRPr="00BC0071">
              <w:rPr>
                <w:noProof/>
                <w:webHidden/>
                <w:sz w:val="24"/>
                <w:szCs w:val="24"/>
              </w:rPr>
              <w:fldChar w:fldCharType="separate"/>
            </w:r>
            <w:r w:rsidRPr="00BC0071">
              <w:rPr>
                <w:noProof/>
                <w:webHidden/>
                <w:sz w:val="24"/>
                <w:szCs w:val="24"/>
              </w:rPr>
              <w:t>27</w:t>
            </w:r>
            <w:r w:rsidRPr="00BC0071">
              <w:rPr>
                <w:noProof/>
                <w:webHidden/>
                <w:sz w:val="24"/>
                <w:szCs w:val="24"/>
              </w:rPr>
              <w:fldChar w:fldCharType="end"/>
            </w:r>
          </w:hyperlink>
        </w:p>
        <w:p w14:paraId="3431EF11" w14:textId="552757DD"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489" w:history="1">
            <w:r w:rsidRPr="00BC0071">
              <w:rPr>
                <w:rStyle w:val="Hyperlink"/>
                <w:noProof/>
                <w:sz w:val="24"/>
                <w:szCs w:val="24"/>
              </w:rPr>
              <w:t>3.7.</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Data Extraction and Thematic Analysis</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_Toc238751489 \h </w:instrText>
            </w:r>
            <w:r w:rsidRPr="00BC0071">
              <w:rPr>
                <w:noProof/>
                <w:webHidden/>
                <w:sz w:val="24"/>
                <w:szCs w:val="24"/>
              </w:rPr>
            </w:r>
            <w:r w:rsidRPr="00BC0071">
              <w:rPr>
                <w:noProof/>
                <w:webHidden/>
                <w:sz w:val="24"/>
                <w:szCs w:val="24"/>
              </w:rPr>
              <w:fldChar w:fldCharType="separate"/>
            </w:r>
            <w:r w:rsidRPr="00BC0071">
              <w:rPr>
                <w:noProof/>
                <w:webHidden/>
                <w:sz w:val="24"/>
                <w:szCs w:val="24"/>
              </w:rPr>
              <w:t>28</w:t>
            </w:r>
            <w:r w:rsidRPr="00BC0071">
              <w:rPr>
                <w:noProof/>
                <w:webHidden/>
                <w:sz w:val="24"/>
                <w:szCs w:val="24"/>
              </w:rPr>
              <w:fldChar w:fldCharType="end"/>
            </w:r>
          </w:hyperlink>
        </w:p>
        <w:p w14:paraId="7AAD3604" w14:textId="1ECF977F"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490" w:history="1">
            <w:r w:rsidRPr="00BC0071">
              <w:rPr>
                <w:rStyle w:val="Hyperlink"/>
                <w:noProof/>
                <w:sz w:val="24"/>
                <w:szCs w:val="24"/>
              </w:rPr>
              <w:t>3.8.</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Quality Appraisal of Studies</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_Toc238751490 \h </w:instrText>
            </w:r>
            <w:r w:rsidRPr="00BC0071">
              <w:rPr>
                <w:noProof/>
                <w:webHidden/>
                <w:sz w:val="24"/>
                <w:szCs w:val="24"/>
              </w:rPr>
            </w:r>
            <w:r w:rsidRPr="00BC0071">
              <w:rPr>
                <w:noProof/>
                <w:webHidden/>
                <w:sz w:val="24"/>
                <w:szCs w:val="24"/>
              </w:rPr>
              <w:fldChar w:fldCharType="separate"/>
            </w:r>
            <w:r w:rsidRPr="00BC0071">
              <w:rPr>
                <w:noProof/>
                <w:webHidden/>
                <w:sz w:val="24"/>
                <w:szCs w:val="24"/>
              </w:rPr>
              <w:t>30</w:t>
            </w:r>
            <w:r w:rsidRPr="00BC0071">
              <w:rPr>
                <w:noProof/>
                <w:webHidden/>
                <w:sz w:val="24"/>
                <w:szCs w:val="24"/>
              </w:rPr>
              <w:fldChar w:fldCharType="end"/>
            </w:r>
          </w:hyperlink>
        </w:p>
        <w:p w14:paraId="61FE254C" w14:textId="49EE1F4C"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491" w:history="1">
            <w:r w:rsidRPr="00BC0071">
              <w:rPr>
                <w:rStyle w:val="Hyperlink"/>
                <w:noProof/>
                <w:sz w:val="24"/>
                <w:szCs w:val="24"/>
              </w:rPr>
              <w:t>3.9.</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Reliability, Validity and Trustworthiness</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_Toc238751491 \h </w:instrText>
            </w:r>
            <w:r w:rsidRPr="00BC0071">
              <w:rPr>
                <w:noProof/>
                <w:webHidden/>
                <w:sz w:val="24"/>
                <w:szCs w:val="24"/>
              </w:rPr>
            </w:r>
            <w:r w:rsidRPr="00BC0071">
              <w:rPr>
                <w:noProof/>
                <w:webHidden/>
                <w:sz w:val="24"/>
                <w:szCs w:val="24"/>
              </w:rPr>
              <w:fldChar w:fldCharType="separate"/>
            </w:r>
            <w:r w:rsidRPr="00BC0071">
              <w:rPr>
                <w:noProof/>
                <w:webHidden/>
                <w:sz w:val="24"/>
                <w:szCs w:val="24"/>
              </w:rPr>
              <w:t>30</w:t>
            </w:r>
            <w:r w:rsidRPr="00BC0071">
              <w:rPr>
                <w:noProof/>
                <w:webHidden/>
                <w:sz w:val="24"/>
                <w:szCs w:val="24"/>
              </w:rPr>
              <w:fldChar w:fldCharType="end"/>
            </w:r>
          </w:hyperlink>
        </w:p>
        <w:p w14:paraId="6DE9B989" w14:textId="08F5895F"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492" w:history="1">
            <w:r w:rsidRPr="00BC0071">
              <w:rPr>
                <w:rStyle w:val="Hyperlink"/>
                <w:noProof/>
                <w:sz w:val="24"/>
                <w:szCs w:val="24"/>
              </w:rPr>
              <w:t>3.10.</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Ethical Considerations</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_Toc238751492 \h </w:instrText>
            </w:r>
            <w:r w:rsidRPr="00BC0071">
              <w:rPr>
                <w:noProof/>
                <w:webHidden/>
                <w:sz w:val="24"/>
                <w:szCs w:val="24"/>
              </w:rPr>
            </w:r>
            <w:r w:rsidRPr="00BC0071">
              <w:rPr>
                <w:noProof/>
                <w:webHidden/>
                <w:sz w:val="24"/>
                <w:szCs w:val="24"/>
              </w:rPr>
              <w:fldChar w:fldCharType="separate"/>
            </w:r>
            <w:r w:rsidRPr="00BC0071">
              <w:rPr>
                <w:noProof/>
                <w:webHidden/>
                <w:sz w:val="24"/>
                <w:szCs w:val="24"/>
              </w:rPr>
              <w:t>31</w:t>
            </w:r>
            <w:r w:rsidRPr="00BC0071">
              <w:rPr>
                <w:noProof/>
                <w:webHidden/>
                <w:sz w:val="24"/>
                <w:szCs w:val="24"/>
              </w:rPr>
              <w:fldChar w:fldCharType="end"/>
            </w:r>
          </w:hyperlink>
        </w:p>
        <w:p w14:paraId="3A7FB04F" w14:textId="797CFE6A"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493" w:history="1">
            <w:r w:rsidRPr="00BC0071">
              <w:rPr>
                <w:rStyle w:val="Hyperlink"/>
                <w:noProof/>
                <w:sz w:val="24"/>
                <w:szCs w:val="24"/>
              </w:rPr>
              <w:t>3.11.</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Chapter Summary</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_Toc238751493 \h </w:instrText>
            </w:r>
            <w:r w:rsidRPr="00BC0071">
              <w:rPr>
                <w:noProof/>
                <w:webHidden/>
                <w:sz w:val="24"/>
                <w:szCs w:val="24"/>
              </w:rPr>
            </w:r>
            <w:r w:rsidRPr="00BC0071">
              <w:rPr>
                <w:noProof/>
                <w:webHidden/>
                <w:sz w:val="24"/>
                <w:szCs w:val="24"/>
              </w:rPr>
              <w:fldChar w:fldCharType="separate"/>
            </w:r>
            <w:r w:rsidRPr="00BC0071">
              <w:rPr>
                <w:noProof/>
                <w:webHidden/>
                <w:sz w:val="24"/>
                <w:szCs w:val="24"/>
              </w:rPr>
              <w:t>32</w:t>
            </w:r>
            <w:r w:rsidRPr="00BC0071">
              <w:rPr>
                <w:noProof/>
                <w:webHidden/>
                <w:sz w:val="24"/>
                <w:szCs w:val="24"/>
              </w:rPr>
              <w:fldChar w:fldCharType="end"/>
            </w:r>
          </w:hyperlink>
        </w:p>
        <w:p w14:paraId="4F9BA422" w14:textId="6AFB3E84" w:rsidR="00BC0071" w:rsidRPr="00BC0071" w:rsidRDefault="00BC0071">
          <w:pPr>
            <w:pStyle w:val="TOC1"/>
            <w:tabs>
              <w:tab w:val="left" w:pos="440"/>
              <w:tab w:val="right" w:leader="dot" w:pos="9350"/>
            </w:tabs>
            <w:rPr>
              <w:rFonts w:asciiTheme="minorHAnsi" w:eastAsiaTheme="minorEastAsia" w:hAnsiTheme="minorHAnsi" w:cstheme="minorBidi"/>
              <w:noProof/>
              <w:kern w:val="2"/>
              <w:sz w:val="24"/>
              <w:szCs w:val="24"/>
              <w14:ligatures w14:val="standardContextual"/>
            </w:rPr>
          </w:pPr>
          <w:hyperlink w:anchor="_Toc238751494" w:history="1">
            <w:r w:rsidRPr="00BC0071">
              <w:rPr>
                <w:rStyle w:val="Hyperlink"/>
                <w:noProof/>
                <w:sz w:val="24"/>
                <w:szCs w:val="24"/>
              </w:rPr>
              <w:t>4.</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CHAPTER FOUR: FINDINGS, ANALYSIS AND DISCUSSION</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_Toc238751494 \h </w:instrText>
            </w:r>
            <w:r w:rsidRPr="00BC0071">
              <w:rPr>
                <w:noProof/>
                <w:webHidden/>
                <w:sz w:val="24"/>
                <w:szCs w:val="24"/>
              </w:rPr>
            </w:r>
            <w:r w:rsidRPr="00BC0071">
              <w:rPr>
                <w:noProof/>
                <w:webHidden/>
                <w:sz w:val="24"/>
                <w:szCs w:val="24"/>
              </w:rPr>
              <w:fldChar w:fldCharType="separate"/>
            </w:r>
            <w:r w:rsidRPr="00BC0071">
              <w:rPr>
                <w:noProof/>
                <w:webHidden/>
                <w:sz w:val="24"/>
                <w:szCs w:val="24"/>
              </w:rPr>
              <w:t>33</w:t>
            </w:r>
            <w:r w:rsidRPr="00BC0071">
              <w:rPr>
                <w:noProof/>
                <w:webHidden/>
                <w:sz w:val="24"/>
                <w:szCs w:val="24"/>
              </w:rPr>
              <w:fldChar w:fldCharType="end"/>
            </w:r>
          </w:hyperlink>
        </w:p>
        <w:p w14:paraId="20F49999" w14:textId="0CEF7D52"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495" w:history="1">
            <w:r w:rsidRPr="00BC0071">
              <w:rPr>
                <w:rStyle w:val="Hyperlink"/>
                <w:noProof/>
                <w:sz w:val="24"/>
                <w:szCs w:val="24"/>
              </w:rPr>
              <w:t>4.1.</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Chapter Introduction</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_Toc238751495 \h </w:instrText>
            </w:r>
            <w:r w:rsidRPr="00BC0071">
              <w:rPr>
                <w:noProof/>
                <w:webHidden/>
                <w:sz w:val="24"/>
                <w:szCs w:val="24"/>
              </w:rPr>
            </w:r>
            <w:r w:rsidRPr="00BC0071">
              <w:rPr>
                <w:noProof/>
                <w:webHidden/>
                <w:sz w:val="24"/>
                <w:szCs w:val="24"/>
              </w:rPr>
              <w:fldChar w:fldCharType="separate"/>
            </w:r>
            <w:r w:rsidRPr="00BC0071">
              <w:rPr>
                <w:noProof/>
                <w:webHidden/>
                <w:sz w:val="24"/>
                <w:szCs w:val="24"/>
              </w:rPr>
              <w:t>33</w:t>
            </w:r>
            <w:r w:rsidRPr="00BC0071">
              <w:rPr>
                <w:noProof/>
                <w:webHidden/>
                <w:sz w:val="24"/>
                <w:szCs w:val="24"/>
              </w:rPr>
              <w:fldChar w:fldCharType="end"/>
            </w:r>
          </w:hyperlink>
        </w:p>
        <w:p w14:paraId="62B555FA" w14:textId="6313AFFC"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496" w:history="1">
            <w:r w:rsidRPr="00BC0071">
              <w:rPr>
                <w:rStyle w:val="Hyperlink"/>
                <w:noProof/>
                <w:sz w:val="24"/>
                <w:szCs w:val="24"/>
              </w:rPr>
              <w:t>4.2.</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Theme One: Technological Factors</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_Toc238751496 \h </w:instrText>
            </w:r>
            <w:r w:rsidRPr="00BC0071">
              <w:rPr>
                <w:noProof/>
                <w:webHidden/>
                <w:sz w:val="24"/>
                <w:szCs w:val="24"/>
              </w:rPr>
            </w:r>
            <w:r w:rsidRPr="00BC0071">
              <w:rPr>
                <w:noProof/>
                <w:webHidden/>
                <w:sz w:val="24"/>
                <w:szCs w:val="24"/>
              </w:rPr>
              <w:fldChar w:fldCharType="separate"/>
            </w:r>
            <w:r w:rsidRPr="00BC0071">
              <w:rPr>
                <w:noProof/>
                <w:webHidden/>
                <w:sz w:val="24"/>
                <w:szCs w:val="24"/>
              </w:rPr>
              <w:t>33</w:t>
            </w:r>
            <w:r w:rsidRPr="00BC0071">
              <w:rPr>
                <w:noProof/>
                <w:webHidden/>
                <w:sz w:val="24"/>
                <w:szCs w:val="24"/>
              </w:rPr>
              <w:fldChar w:fldCharType="end"/>
            </w:r>
          </w:hyperlink>
        </w:p>
        <w:p w14:paraId="61B03807" w14:textId="67484B89" w:rsidR="00BC0071" w:rsidRPr="00BC0071" w:rsidRDefault="00BC0071">
          <w:pPr>
            <w:pStyle w:val="TOC3"/>
            <w:tabs>
              <w:tab w:val="left" w:pos="1200"/>
              <w:tab w:val="right" w:leader="dot" w:pos="9350"/>
            </w:tabs>
            <w:rPr>
              <w:rFonts w:asciiTheme="minorHAnsi" w:eastAsiaTheme="minorEastAsia" w:hAnsiTheme="minorHAnsi" w:cstheme="minorBidi"/>
              <w:noProof/>
              <w:kern w:val="2"/>
              <w:sz w:val="24"/>
              <w:szCs w:val="24"/>
              <w14:ligatures w14:val="standardContextual"/>
            </w:rPr>
          </w:pPr>
          <w:hyperlink w:anchor="_Toc238751497" w:history="1">
            <w:r w:rsidRPr="00BC0071">
              <w:rPr>
                <w:rStyle w:val="Hyperlink"/>
                <w:noProof/>
                <w:sz w:val="24"/>
                <w:szCs w:val="24"/>
              </w:rPr>
              <w:t>4.2.1.</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Cybersecurity and Secure Digital Systems</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_Toc238751497 \h </w:instrText>
            </w:r>
            <w:r w:rsidRPr="00BC0071">
              <w:rPr>
                <w:noProof/>
                <w:webHidden/>
                <w:sz w:val="24"/>
                <w:szCs w:val="24"/>
              </w:rPr>
            </w:r>
            <w:r w:rsidRPr="00BC0071">
              <w:rPr>
                <w:noProof/>
                <w:webHidden/>
                <w:sz w:val="24"/>
                <w:szCs w:val="24"/>
              </w:rPr>
              <w:fldChar w:fldCharType="separate"/>
            </w:r>
            <w:r w:rsidRPr="00BC0071">
              <w:rPr>
                <w:noProof/>
                <w:webHidden/>
                <w:sz w:val="24"/>
                <w:szCs w:val="24"/>
              </w:rPr>
              <w:t>33</w:t>
            </w:r>
            <w:r w:rsidRPr="00BC0071">
              <w:rPr>
                <w:noProof/>
                <w:webHidden/>
                <w:sz w:val="24"/>
                <w:szCs w:val="24"/>
              </w:rPr>
              <w:fldChar w:fldCharType="end"/>
            </w:r>
          </w:hyperlink>
        </w:p>
        <w:p w14:paraId="40624713" w14:textId="58DA5AAD" w:rsidR="00BC0071" w:rsidRPr="00BC0071" w:rsidRDefault="00BC0071">
          <w:pPr>
            <w:pStyle w:val="TOC3"/>
            <w:tabs>
              <w:tab w:val="left" w:pos="1200"/>
              <w:tab w:val="right" w:leader="dot" w:pos="9350"/>
            </w:tabs>
            <w:rPr>
              <w:rFonts w:asciiTheme="minorHAnsi" w:eastAsiaTheme="minorEastAsia" w:hAnsiTheme="minorHAnsi" w:cstheme="minorBidi"/>
              <w:noProof/>
              <w:kern w:val="2"/>
              <w:sz w:val="24"/>
              <w:szCs w:val="24"/>
              <w14:ligatures w14:val="standardContextual"/>
            </w:rPr>
          </w:pPr>
          <w:hyperlink w:anchor="_Toc238751498" w:history="1">
            <w:r w:rsidRPr="00BC0071">
              <w:rPr>
                <w:rStyle w:val="Hyperlink"/>
                <w:noProof/>
                <w:sz w:val="24"/>
                <w:szCs w:val="24"/>
              </w:rPr>
              <w:t>4.2.2.</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Privacy Protection and Data Security</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_Toc238751498 \h </w:instrText>
            </w:r>
            <w:r w:rsidRPr="00BC0071">
              <w:rPr>
                <w:noProof/>
                <w:webHidden/>
                <w:sz w:val="24"/>
                <w:szCs w:val="24"/>
              </w:rPr>
            </w:r>
            <w:r w:rsidRPr="00BC0071">
              <w:rPr>
                <w:noProof/>
                <w:webHidden/>
                <w:sz w:val="24"/>
                <w:szCs w:val="24"/>
              </w:rPr>
              <w:fldChar w:fldCharType="separate"/>
            </w:r>
            <w:r w:rsidRPr="00BC0071">
              <w:rPr>
                <w:noProof/>
                <w:webHidden/>
                <w:sz w:val="24"/>
                <w:szCs w:val="24"/>
              </w:rPr>
              <w:t>35</w:t>
            </w:r>
            <w:r w:rsidRPr="00BC0071">
              <w:rPr>
                <w:noProof/>
                <w:webHidden/>
                <w:sz w:val="24"/>
                <w:szCs w:val="24"/>
              </w:rPr>
              <w:fldChar w:fldCharType="end"/>
            </w:r>
          </w:hyperlink>
        </w:p>
        <w:p w14:paraId="154D7846" w14:textId="596993C1"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499" w:history="1">
            <w:r w:rsidRPr="00BC0071">
              <w:rPr>
                <w:rStyle w:val="Hyperlink"/>
                <w:noProof/>
                <w:sz w:val="24"/>
                <w:szCs w:val="24"/>
              </w:rPr>
              <w:t>4.3.</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Theme Two: Behavioural Factors</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_Toc238751499 \h </w:instrText>
            </w:r>
            <w:r w:rsidRPr="00BC0071">
              <w:rPr>
                <w:noProof/>
                <w:webHidden/>
                <w:sz w:val="24"/>
                <w:szCs w:val="24"/>
              </w:rPr>
            </w:r>
            <w:r w:rsidRPr="00BC0071">
              <w:rPr>
                <w:noProof/>
                <w:webHidden/>
                <w:sz w:val="24"/>
                <w:szCs w:val="24"/>
              </w:rPr>
              <w:fldChar w:fldCharType="separate"/>
            </w:r>
            <w:r w:rsidRPr="00BC0071">
              <w:rPr>
                <w:noProof/>
                <w:webHidden/>
                <w:sz w:val="24"/>
                <w:szCs w:val="24"/>
              </w:rPr>
              <w:t>36</w:t>
            </w:r>
            <w:r w:rsidRPr="00BC0071">
              <w:rPr>
                <w:noProof/>
                <w:webHidden/>
                <w:sz w:val="24"/>
                <w:szCs w:val="24"/>
              </w:rPr>
              <w:fldChar w:fldCharType="end"/>
            </w:r>
          </w:hyperlink>
        </w:p>
        <w:p w14:paraId="580BDD23" w14:textId="7E13094D" w:rsidR="00BC0071" w:rsidRPr="00BC0071" w:rsidRDefault="00BC0071">
          <w:pPr>
            <w:pStyle w:val="TOC3"/>
            <w:tabs>
              <w:tab w:val="left" w:pos="1200"/>
              <w:tab w:val="right" w:leader="dot" w:pos="9350"/>
            </w:tabs>
            <w:rPr>
              <w:rFonts w:asciiTheme="minorHAnsi" w:eastAsiaTheme="minorEastAsia" w:hAnsiTheme="minorHAnsi" w:cstheme="minorBidi"/>
              <w:noProof/>
              <w:kern w:val="2"/>
              <w:sz w:val="24"/>
              <w:szCs w:val="24"/>
              <w14:ligatures w14:val="standardContextual"/>
            </w:rPr>
          </w:pPr>
          <w:hyperlink w:anchor="_Toc238751500" w:history="1">
            <w:r w:rsidRPr="00BC0071">
              <w:rPr>
                <w:rStyle w:val="Hyperlink"/>
                <w:noProof/>
                <w:sz w:val="24"/>
                <w:szCs w:val="24"/>
              </w:rPr>
              <w:t>4.3.1.</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Perceived Risk and Customer Risk Perception</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_Toc238751500 \h </w:instrText>
            </w:r>
            <w:r w:rsidRPr="00BC0071">
              <w:rPr>
                <w:noProof/>
                <w:webHidden/>
                <w:sz w:val="24"/>
                <w:szCs w:val="24"/>
              </w:rPr>
            </w:r>
            <w:r w:rsidRPr="00BC0071">
              <w:rPr>
                <w:noProof/>
                <w:webHidden/>
                <w:sz w:val="24"/>
                <w:szCs w:val="24"/>
              </w:rPr>
              <w:fldChar w:fldCharType="separate"/>
            </w:r>
            <w:r w:rsidRPr="00BC0071">
              <w:rPr>
                <w:noProof/>
                <w:webHidden/>
                <w:sz w:val="24"/>
                <w:szCs w:val="24"/>
              </w:rPr>
              <w:t>36</w:t>
            </w:r>
            <w:r w:rsidRPr="00BC0071">
              <w:rPr>
                <w:noProof/>
                <w:webHidden/>
                <w:sz w:val="24"/>
                <w:szCs w:val="24"/>
              </w:rPr>
              <w:fldChar w:fldCharType="end"/>
            </w:r>
          </w:hyperlink>
        </w:p>
        <w:p w14:paraId="5A2F5B09" w14:textId="59C01B21" w:rsidR="00BC0071" w:rsidRPr="00BC0071" w:rsidRDefault="00BC0071">
          <w:pPr>
            <w:pStyle w:val="TOC3"/>
            <w:tabs>
              <w:tab w:val="left" w:pos="1200"/>
              <w:tab w:val="right" w:leader="dot" w:pos="9350"/>
            </w:tabs>
            <w:rPr>
              <w:rFonts w:asciiTheme="minorHAnsi" w:eastAsiaTheme="minorEastAsia" w:hAnsiTheme="minorHAnsi" w:cstheme="minorBidi"/>
              <w:noProof/>
              <w:kern w:val="2"/>
              <w:sz w:val="24"/>
              <w:szCs w:val="24"/>
              <w14:ligatures w14:val="standardContextual"/>
            </w:rPr>
          </w:pPr>
          <w:hyperlink w:anchor="_Toc238751501" w:history="1">
            <w:r w:rsidRPr="00BC0071">
              <w:rPr>
                <w:rStyle w:val="Hyperlink"/>
                <w:noProof/>
                <w:sz w:val="24"/>
                <w:szCs w:val="24"/>
              </w:rPr>
              <w:t>4.3.2.</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Digital Literacy and User Confidence</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_Toc238751501 \h </w:instrText>
            </w:r>
            <w:r w:rsidRPr="00BC0071">
              <w:rPr>
                <w:noProof/>
                <w:webHidden/>
                <w:sz w:val="24"/>
                <w:szCs w:val="24"/>
              </w:rPr>
            </w:r>
            <w:r w:rsidRPr="00BC0071">
              <w:rPr>
                <w:noProof/>
                <w:webHidden/>
                <w:sz w:val="24"/>
                <w:szCs w:val="24"/>
              </w:rPr>
              <w:fldChar w:fldCharType="separate"/>
            </w:r>
            <w:r w:rsidRPr="00BC0071">
              <w:rPr>
                <w:noProof/>
                <w:webHidden/>
                <w:sz w:val="24"/>
                <w:szCs w:val="24"/>
              </w:rPr>
              <w:t>37</w:t>
            </w:r>
            <w:r w:rsidRPr="00BC0071">
              <w:rPr>
                <w:noProof/>
                <w:webHidden/>
                <w:sz w:val="24"/>
                <w:szCs w:val="24"/>
              </w:rPr>
              <w:fldChar w:fldCharType="end"/>
            </w:r>
          </w:hyperlink>
        </w:p>
        <w:p w14:paraId="65C44182" w14:textId="080A8BDA"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502" w:history="1">
            <w:r w:rsidRPr="00BC0071">
              <w:rPr>
                <w:rStyle w:val="Hyperlink"/>
                <w:noProof/>
                <w:sz w:val="24"/>
                <w:szCs w:val="24"/>
              </w:rPr>
              <w:t>4.4.</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Theme Three: Regulatory Factors</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_Toc238751502 \h </w:instrText>
            </w:r>
            <w:r w:rsidRPr="00BC0071">
              <w:rPr>
                <w:noProof/>
                <w:webHidden/>
                <w:sz w:val="24"/>
                <w:szCs w:val="24"/>
              </w:rPr>
            </w:r>
            <w:r w:rsidRPr="00BC0071">
              <w:rPr>
                <w:noProof/>
                <w:webHidden/>
                <w:sz w:val="24"/>
                <w:szCs w:val="24"/>
              </w:rPr>
              <w:fldChar w:fldCharType="separate"/>
            </w:r>
            <w:r w:rsidRPr="00BC0071">
              <w:rPr>
                <w:noProof/>
                <w:webHidden/>
                <w:sz w:val="24"/>
                <w:szCs w:val="24"/>
              </w:rPr>
              <w:t>39</w:t>
            </w:r>
            <w:r w:rsidRPr="00BC0071">
              <w:rPr>
                <w:noProof/>
                <w:webHidden/>
                <w:sz w:val="24"/>
                <w:szCs w:val="24"/>
              </w:rPr>
              <w:fldChar w:fldCharType="end"/>
            </w:r>
          </w:hyperlink>
        </w:p>
        <w:p w14:paraId="3511FEE1" w14:textId="04ACBEF6" w:rsidR="00BC0071" w:rsidRPr="00BC0071" w:rsidRDefault="00BC0071">
          <w:pPr>
            <w:pStyle w:val="TOC3"/>
            <w:tabs>
              <w:tab w:val="left" w:pos="1200"/>
              <w:tab w:val="right" w:leader="dot" w:pos="9350"/>
            </w:tabs>
            <w:rPr>
              <w:rFonts w:asciiTheme="minorHAnsi" w:eastAsiaTheme="minorEastAsia" w:hAnsiTheme="minorHAnsi" w:cstheme="minorBidi"/>
              <w:noProof/>
              <w:kern w:val="2"/>
              <w:sz w:val="24"/>
              <w:szCs w:val="24"/>
              <w14:ligatures w14:val="standardContextual"/>
            </w:rPr>
          </w:pPr>
          <w:hyperlink w:anchor="_Toc238751503" w:history="1">
            <w:r w:rsidRPr="00BC0071">
              <w:rPr>
                <w:rStyle w:val="Hyperlink"/>
                <w:noProof/>
                <w:sz w:val="24"/>
                <w:szCs w:val="24"/>
              </w:rPr>
              <w:t>4.4.1.</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Regulatory Compliance and Governance</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_Toc238751503 \h </w:instrText>
            </w:r>
            <w:r w:rsidRPr="00BC0071">
              <w:rPr>
                <w:noProof/>
                <w:webHidden/>
                <w:sz w:val="24"/>
                <w:szCs w:val="24"/>
              </w:rPr>
            </w:r>
            <w:r w:rsidRPr="00BC0071">
              <w:rPr>
                <w:noProof/>
                <w:webHidden/>
                <w:sz w:val="24"/>
                <w:szCs w:val="24"/>
              </w:rPr>
              <w:fldChar w:fldCharType="separate"/>
            </w:r>
            <w:r w:rsidRPr="00BC0071">
              <w:rPr>
                <w:noProof/>
                <w:webHidden/>
                <w:sz w:val="24"/>
                <w:szCs w:val="24"/>
              </w:rPr>
              <w:t>39</w:t>
            </w:r>
            <w:r w:rsidRPr="00BC0071">
              <w:rPr>
                <w:noProof/>
                <w:webHidden/>
                <w:sz w:val="24"/>
                <w:szCs w:val="24"/>
              </w:rPr>
              <w:fldChar w:fldCharType="end"/>
            </w:r>
          </w:hyperlink>
        </w:p>
        <w:p w14:paraId="0E6BD1BC" w14:textId="4E644368" w:rsidR="00BC0071" w:rsidRPr="00BC0071" w:rsidRDefault="00BC0071">
          <w:pPr>
            <w:pStyle w:val="TOC3"/>
            <w:tabs>
              <w:tab w:val="left" w:pos="1200"/>
              <w:tab w:val="right" w:leader="dot" w:pos="9350"/>
            </w:tabs>
            <w:rPr>
              <w:rFonts w:asciiTheme="minorHAnsi" w:eastAsiaTheme="minorEastAsia" w:hAnsiTheme="minorHAnsi" w:cstheme="minorBidi"/>
              <w:noProof/>
              <w:kern w:val="2"/>
              <w:sz w:val="24"/>
              <w:szCs w:val="24"/>
              <w14:ligatures w14:val="standardContextual"/>
            </w:rPr>
          </w:pPr>
          <w:hyperlink w:anchor="_Toc238751504" w:history="1">
            <w:r w:rsidRPr="00BC0071">
              <w:rPr>
                <w:rStyle w:val="Hyperlink"/>
                <w:noProof/>
                <w:sz w:val="24"/>
                <w:szCs w:val="24"/>
              </w:rPr>
              <w:t>4.4.2.</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Fraud Prevention and Consumer Protection</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_Toc238751504 \h </w:instrText>
            </w:r>
            <w:r w:rsidRPr="00BC0071">
              <w:rPr>
                <w:noProof/>
                <w:webHidden/>
                <w:sz w:val="24"/>
                <w:szCs w:val="24"/>
              </w:rPr>
            </w:r>
            <w:r w:rsidRPr="00BC0071">
              <w:rPr>
                <w:noProof/>
                <w:webHidden/>
                <w:sz w:val="24"/>
                <w:szCs w:val="24"/>
              </w:rPr>
              <w:fldChar w:fldCharType="separate"/>
            </w:r>
            <w:r w:rsidRPr="00BC0071">
              <w:rPr>
                <w:noProof/>
                <w:webHidden/>
                <w:sz w:val="24"/>
                <w:szCs w:val="24"/>
              </w:rPr>
              <w:t>39</w:t>
            </w:r>
            <w:r w:rsidRPr="00BC0071">
              <w:rPr>
                <w:noProof/>
                <w:webHidden/>
                <w:sz w:val="24"/>
                <w:szCs w:val="24"/>
              </w:rPr>
              <w:fldChar w:fldCharType="end"/>
            </w:r>
          </w:hyperlink>
        </w:p>
        <w:p w14:paraId="5959E486" w14:textId="3C8FCE85"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505" w:history="1">
            <w:r w:rsidRPr="00BC0071">
              <w:rPr>
                <w:rStyle w:val="Hyperlink"/>
                <w:noProof/>
                <w:sz w:val="24"/>
                <w:szCs w:val="24"/>
              </w:rPr>
              <w:t>4.5.</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Discussion</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_Toc238751505 \h </w:instrText>
            </w:r>
            <w:r w:rsidRPr="00BC0071">
              <w:rPr>
                <w:noProof/>
                <w:webHidden/>
                <w:sz w:val="24"/>
                <w:szCs w:val="24"/>
              </w:rPr>
            </w:r>
            <w:r w:rsidRPr="00BC0071">
              <w:rPr>
                <w:noProof/>
                <w:webHidden/>
                <w:sz w:val="24"/>
                <w:szCs w:val="24"/>
              </w:rPr>
              <w:fldChar w:fldCharType="separate"/>
            </w:r>
            <w:r w:rsidRPr="00BC0071">
              <w:rPr>
                <w:noProof/>
                <w:webHidden/>
                <w:sz w:val="24"/>
                <w:szCs w:val="24"/>
              </w:rPr>
              <w:t>40</w:t>
            </w:r>
            <w:r w:rsidRPr="00BC0071">
              <w:rPr>
                <w:noProof/>
                <w:webHidden/>
                <w:sz w:val="24"/>
                <w:szCs w:val="24"/>
              </w:rPr>
              <w:fldChar w:fldCharType="end"/>
            </w:r>
          </w:hyperlink>
        </w:p>
        <w:p w14:paraId="68A0D09A" w14:textId="3D203C69" w:rsidR="00BC0071" w:rsidRPr="00BC0071" w:rsidRDefault="00BC0071">
          <w:pPr>
            <w:pStyle w:val="TOC3"/>
            <w:tabs>
              <w:tab w:val="left" w:pos="1200"/>
              <w:tab w:val="right" w:leader="dot" w:pos="9350"/>
            </w:tabs>
            <w:rPr>
              <w:rFonts w:asciiTheme="minorHAnsi" w:eastAsiaTheme="minorEastAsia" w:hAnsiTheme="minorHAnsi" w:cstheme="minorBidi"/>
              <w:noProof/>
              <w:kern w:val="2"/>
              <w:sz w:val="24"/>
              <w:szCs w:val="24"/>
              <w14:ligatures w14:val="standardContextual"/>
            </w:rPr>
          </w:pPr>
          <w:hyperlink w:anchor="_Toc238751506" w:history="1">
            <w:r w:rsidRPr="00BC0071">
              <w:rPr>
                <w:rStyle w:val="Hyperlink"/>
                <w:noProof/>
                <w:sz w:val="24"/>
                <w:szCs w:val="24"/>
              </w:rPr>
              <w:t>4.5.1.</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Technological Factors: Confirmation and Qualification</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_Toc238751506 \h </w:instrText>
            </w:r>
            <w:r w:rsidRPr="00BC0071">
              <w:rPr>
                <w:noProof/>
                <w:webHidden/>
                <w:sz w:val="24"/>
                <w:szCs w:val="24"/>
              </w:rPr>
            </w:r>
            <w:r w:rsidRPr="00BC0071">
              <w:rPr>
                <w:noProof/>
                <w:webHidden/>
                <w:sz w:val="24"/>
                <w:szCs w:val="24"/>
              </w:rPr>
              <w:fldChar w:fldCharType="separate"/>
            </w:r>
            <w:r w:rsidRPr="00BC0071">
              <w:rPr>
                <w:noProof/>
                <w:webHidden/>
                <w:sz w:val="24"/>
                <w:szCs w:val="24"/>
              </w:rPr>
              <w:t>40</w:t>
            </w:r>
            <w:r w:rsidRPr="00BC0071">
              <w:rPr>
                <w:noProof/>
                <w:webHidden/>
                <w:sz w:val="24"/>
                <w:szCs w:val="24"/>
              </w:rPr>
              <w:fldChar w:fldCharType="end"/>
            </w:r>
          </w:hyperlink>
        </w:p>
        <w:p w14:paraId="7C6FA1AC" w14:textId="42284864" w:rsidR="00BC0071" w:rsidRPr="00BC0071" w:rsidRDefault="00BC0071">
          <w:pPr>
            <w:pStyle w:val="TOC3"/>
            <w:tabs>
              <w:tab w:val="left" w:pos="1200"/>
              <w:tab w:val="right" w:leader="dot" w:pos="9350"/>
            </w:tabs>
            <w:rPr>
              <w:rFonts w:asciiTheme="minorHAnsi" w:eastAsiaTheme="minorEastAsia" w:hAnsiTheme="minorHAnsi" w:cstheme="minorBidi"/>
              <w:noProof/>
              <w:kern w:val="2"/>
              <w:sz w:val="24"/>
              <w:szCs w:val="24"/>
              <w14:ligatures w14:val="standardContextual"/>
            </w:rPr>
          </w:pPr>
          <w:hyperlink w:anchor="_Toc238751507" w:history="1">
            <w:r w:rsidRPr="00BC0071">
              <w:rPr>
                <w:rStyle w:val="Hyperlink"/>
                <w:noProof/>
                <w:sz w:val="24"/>
                <w:szCs w:val="24"/>
              </w:rPr>
              <w:t>4.5.2.</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Behavioural Factors: Extending Theoretical Models</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_Toc238751507 \h </w:instrText>
            </w:r>
            <w:r w:rsidRPr="00BC0071">
              <w:rPr>
                <w:noProof/>
                <w:webHidden/>
                <w:sz w:val="24"/>
                <w:szCs w:val="24"/>
              </w:rPr>
            </w:r>
            <w:r w:rsidRPr="00BC0071">
              <w:rPr>
                <w:noProof/>
                <w:webHidden/>
                <w:sz w:val="24"/>
                <w:szCs w:val="24"/>
              </w:rPr>
              <w:fldChar w:fldCharType="separate"/>
            </w:r>
            <w:r w:rsidRPr="00BC0071">
              <w:rPr>
                <w:noProof/>
                <w:webHidden/>
                <w:sz w:val="24"/>
                <w:szCs w:val="24"/>
              </w:rPr>
              <w:t>41</w:t>
            </w:r>
            <w:r w:rsidRPr="00BC0071">
              <w:rPr>
                <w:noProof/>
                <w:webHidden/>
                <w:sz w:val="24"/>
                <w:szCs w:val="24"/>
              </w:rPr>
              <w:fldChar w:fldCharType="end"/>
            </w:r>
          </w:hyperlink>
        </w:p>
        <w:p w14:paraId="619A3BBE" w14:textId="7BB9D4EE" w:rsidR="00BC0071" w:rsidRPr="00BC0071" w:rsidRDefault="00BC0071">
          <w:pPr>
            <w:pStyle w:val="TOC3"/>
            <w:tabs>
              <w:tab w:val="left" w:pos="1200"/>
              <w:tab w:val="right" w:leader="dot" w:pos="9350"/>
            </w:tabs>
            <w:rPr>
              <w:rFonts w:asciiTheme="minorHAnsi" w:eastAsiaTheme="minorEastAsia" w:hAnsiTheme="minorHAnsi" w:cstheme="minorBidi"/>
              <w:noProof/>
              <w:kern w:val="2"/>
              <w:sz w:val="24"/>
              <w:szCs w:val="24"/>
              <w14:ligatures w14:val="standardContextual"/>
            </w:rPr>
          </w:pPr>
          <w:hyperlink w:anchor="_Toc238751508" w:history="1">
            <w:r w:rsidRPr="00BC0071">
              <w:rPr>
                <w:rStyle w:val="Hyperlink"/>
                <w:noProof/>
                <w:sz w:val="24"/>
                <w:szCs w:val="24"/>
              </w:rPr>
              <w:t>4.5.3.</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Regulatory Factors: Addressing the Institutional Gap</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_Toc238751508 \h </w:instrText>
            </w:r>
            <w:r w:rsidRPr="00BC0071">
              <w:rPr>
                <w:noProof/>
                <w:webHidden/>
                <w:sz w:val="24"/>
                <w:szCs w:val="24"/>
              </w:rPr>
            </w:r>
            <w:r w:rsidRPr="00BC0071">
              <w:rPr>
                <w:noProof/>
                <w:webHidden/>
                <w:sz w:val="24"/>
                <w:szCs w:val="24"/>
              </w:rPr>
              <w:fldChar w:fldCharType="separate"/>
            </w:r>
            <w:r w:rsidRPr="00BC0071">
              <w:rPr>
                <w:noProof/>
                <w:webHidden/>
                <w:sz w:val="24"/>
                <w:szCs w:val="24"/>
              </w:rPr>
              <w:t>42</w:t>
            </w:r>
            <w:r w:rsidRPr="00BC0071">
              <w:rPr>
                <w:noProof/>
                <w:webHidden/>
                <w:sz w:val="24"/>
                <w:szCs w:val="24"/>
              </w:rPr>
              <w:fldChar w:fldCharType="end"/>
            </w:r>
          </w:hyperlink>
        </w:p>
        <w:p w14:paraId="74F2D664" w14:textId="35819844"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509" w:history="1">
            <w:r w:rsidRPr="00BC0071">
              <w:rPr>
                <w:rStyle w:val="Hyperlink"/>
                <w:noProof/>
                <w:sz w:val="24"/>
                <w:szCs w:val="24"/>
              </w:rPr>
              <w:t>4.6.</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Chapter Summary</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_Toc238751509 \h </w:instrText>
            </w:r>
            <w:r w:rsidRPr="00BC0071">
              <w:rPr>
                <w:noProof/>
                <w:webHidden/>
                <w:sz w:val="24"/>
                <w:szCs w:val="24"/>
              </w:rPr>
            </w:r>
            <w:r w:rsidRPr="00BC0071">
              <w:rPr>
                <w:noProof/>
                <w:webHidden/>
                <w:sz w:val="24"/>
                <w:szCs w:val="24"/>
              </w:rPr>
              <w:fldChar w:fldCharType="separate"/>
            </w:r>
            <w:r w:rsidRPr="00BC0071">
              <w:rPr>
                <w:noProof/>
                <w:webHidden/>
                <w:sz w:val="24"/>
                <w:szCs w:val="24"/>
              </w:rPr>
              <w:t>43</w:t>
            </w:r>
            <w:r w:rsidRPr="00BC0071">
              <w:rPr>
                <w:noProof/>
                <w:webHidden/>
                <w:sz w:val="24"/>
                <w:szCs w:val="24"/>
              </w:rPr>
              <w:fldChar w:fldCharType="end"/>
            </w:r>
          </w:hyperlink>
        </w:p>
        <w:p w14:paraId="2317A986" w14:textId="7664BB1F" w:rsidR="00BC0071" w:rsidRPr="00BC0071" w:rsidRDefault="00BC0071">
          <w:pPr>
            <w:pStyle w:val="TOC1"/>
            <w:tabs>
              <w:tab w:val="left" w:pos="440"/>
              <w:tab w:val="right" w:leader="dot" w:pos="9350"/>
            </w:tabs>
            <w:rPr>
              <w:rFonts w:asciiTheme="minorHAnsi" w:eastAsiaTheme="minorEastAsia" w:hAnsiTheme="minorHAnsi" w:cstheme="minorBidi"/>
              <w:noProof/>
              <w:kern w:val="2"/>
              <w:sz w:val="24"/>
              <w:szCs w:val="24"/>
              <w14:ligatures w14:val="standardContextual"/>
            </w:rPr>
          </w:pPr>
          <w:hyperlink w:anchor="_Toc238751510" w:history="1">
            <w:r w:rsidRPr="00BC0071">
              <w:rPr>
                <w:rStyle w:val="Hyperlink"/>
                <w:noProof/>
                <w:sz w:val="24"/>
                <w:szCs w:val="24"/>
              </w:rPr>
              <w:t>5.</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CHAPTER FIVE: CONCLUSION AND RECOMMENDATIONS</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_Toc238751510 \h </w:instrText>
            </w:r>
            <w:r w:rsidRPr="00BC0071">
              <w:rPr>
                <w:noProof/>
                <w:webHidden/>
                <w:sz w:val="24"/>
                <w:szCs w:val="24"/>
              </w:rPr>
            </w:r>
            <w:r w:rsidRPr="00BC0071">
              <w:rPr>
                <w:noProof/>
                <w:webHidden/>
                <w:sz w:val="24"/>
                <w:szCs w:val="24"/>
              </w:rPr>
              <w:fldChar w:fldCharType="separate"/>
            </w:r>
            <w:r w:rsidRPr="00BC0071">
              <w:rPr>
                <w:noProof/>
                <w:webHidden/>
                <w:sz w:val="24"/>
                <w:szCs w:val="24"/>
              </w:rPr>
              <w:t>44</w:t>
            </w:r>
            <w:r w:rsidRPr="00BC0071">
              <w:rPr>
                <w:noProof/>
                <w:webHidden/>
                <w:sz w:val="24"/>
                <w:szCs w:val="24"/>
              </w:rPr>
              <w:fldChar w:fldCharType="end"/>
            </w:r>
          </w:hyperlink>
        </w:p>
        <w:p w14:paraId="5DCF426F" w14:textId="66035839"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511" w:history="1">
            <w:r w:rsidRPr="00BC0071">
              <w:rPr>
                <w:rStyle w:val="Hyperlink"/>
                <w:noProof/>
                <w:sz w:val="24"/>
                <w:szCs w:val="24"/>
              </w:rPr>
              <w:t>5.1.</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Conclusion</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_Toc238751511 \h </w:instrText>
            </w:r>
            <w:r w:rsidRPr="00BC0071">
              <w:rPr>
                <w:noProof/>
                <w:webHidden/>
                <w:sz w:val="24"/>
                <w:szCs w:val="24"/>
              </w:rPr>
            </w:r>
            <w:r w:rsidRPr="00BC0071">
              <w:rPr>
                <w:noProof/>
                <w:webHidden/>
                <w:sz w:val="24"/>
                <w:szCs w:val="24"/>
              </w:rPr>
              <w:fldChar w:fldCharType="separate"/>
            </w:r>
            <w:r w:rsidRPr="00BC0071">
              <w:rPr>
                <w:noProof/>
                <w:webHidden/>
                <w:sz w:val="24"/>
                <w:szCs w:val="24"/>
              </w:rPr>
              <w:t>44</w:t>
            </w:r>
            <w:r w:rsidRPr="00BC0071">
              <w:rPr>
                <w:noProof/>
                <w:webHidden/>
                <w:sz w:val="24"/>
                <w:szCs w:val="24"/>
              </w:rPr>
              <w:fldChar w:fldCharType="end"/>
            </w:r>
          </w:hyperlink>
        </w:p>
        <w:p w14:paraId="73348479" w14:textId="57A4D50A"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512" w:history="1">
            <w:r w:rsidRPr="00BC0071">
              <w:rPr>
                <w:rStyle w:val="Hyperlink"/>
                <w:noProof/>
                <w:sz w:val="24"/>
                <w:szCs w:val="24"/>
              </w:rPr>
              <w:t>5.2.</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Linking Findings with Objectives</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_Toc238751512 \h </w:instrText>
            </w:r>
            <w:r w:rsidRPr="00BC0071">
              <w:rPr>
                <w:noProof/>
                <w:webHidden/>
                <w:sz w:val="24"/>
                <w:szCs w:val="24"/>
              </w:rPr>
            </w:r>
            <w:r w:rsidRPr="00BC0071">
              <w:rPr>
                <w:noProof/>
                <w:webHidden/>
                <w:sz w:val="24"/>
                <w:szCs w:val="24"/>
              </w:rPr>
              <w:fldChar w:fldCharType="separate"/>
            </w:r>
            <w:r w:rsidRPr="00BC0071">
              <w:rPr>
                <w:noProof/>
                <w:webHidden/>
                <w:sz w:val="24"/>
                <w:szCs w:val="24"/>
              </w:rPr>
              <w:t>45</w:t>
            </w:r>
            <w:r w:rsidRPr="00BC0071">
              <w:rPr>
                <w:noProof/>
                <w:webHidden/>
                <w:sz w:val="24"/>
                <w:szCs w:val="24"/>
              </w:rPr>
              <w:fldChar w:fldCharType="end"/>
            </w:r>
          </w:hyperlink>
        </w:p>
        <w:p w14:paraId="40CB023B" w14:textId="7DB8DFCE"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513" w:history="1">
            <w:r w:rsidRPr="00BC0071">
              <w:rPr>
                <w:rStyle w:val="Hyperlink"/>
                <w:noProof/>
                <w:sz w:val="24"/>
                <w:szCs w:val="24"/>
              </w:rPr>
              <w:t>5.3.</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Recommendations</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_Toc238751513 \h </w:instrText>
            </w:r>
            <w:r w:rsidRPr="00BC0071">
              <w:rPr>
                <w:noProof/>
                <w:webHidden/>
                <w:sz w:val="24"/>
                <w:szCs w:val="24"/>
              </w:rPr>
            </w:r>
            <w:r w:rsidRPr="00BC0071">
              <w:rPr>
                <w:noProof/>
                <w:webHidden/>
                <w:sz w:val="24"/>
                <w:szCs w:val="24"/>
              </w:rPr>
              <w:fldChar w:fldCharType="separate"/>
            </w:r>
            <w:r w:rsidRPr="00BC0071">
              <w:rPr>
                <w:noProof/>
                <w:webHidden/>
                <w:sz w:val="24"/>
                <w:szCs w:val="24"/>
              </w:rPr>
              <w:t>46</w:t>
            </w:r>
            <w:r w:rsidRPr="00BC0071">
              <w:rPr>
                <w:noProof/>
                <w:webHidden/>
                <w:sz w:val="24"/>
                <w:szCs w:val="24"/>
              </w:rPr>
              <w:fldChar w:fldCharType="end"/>
            </w:r>
          </w:hyperlink>
        </w:p>
        <w:p w14:paraId="4721570B" w14:textId="11C5813E"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514" w:history="1">
            <w:r w:rsidRPr="00BC0071">
              <w:rPr>
                <w:rStyle w:val="Hyperlink"/>
                <w:noProof/>
                <w:sz w:val="24"/>
                <w:szCs w:val="24"/>
              </w:rPr>
              <w:t>5.4.</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Research Limitations</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_Toc238751514 \h </w:instrText>
            </w:r>
            <w:r w:rsidRPr="00BC0071">
              <w:rPr>
                <w:noProof/>
                <w:webHidden/>
                <w:sz w:val="24"/>
                <w:szCs w:val="24"/>
              </w:rPr>
            </w:r>
            <w:r w:rsidRPr="00BC0071">
              <w:rPr>
                <w:noProof/>
                <w:webHidden/>
                <w:sz w:val="24"/>
                <w:szCs w:val="24"/>
              </w:rPr>
              <w:fldChar w:fldCharType="separate"/>
            </w:r>
            <w:r w:rsidRPr="00BC0071">
              <w:rPr>
                <w:noProof/>
                <w:webHidden/>
                <w:sz w:val="24"/>
                <w:szCs w:val="24"/>
              </w:rPr>
              <w:t>48</w:t>
            </w:r>
            <w:r w:rsidRPr="00BC0071">
              <w:rPr>
                <w:noProof/>
                <w:webHidden/>
                <w:sz w:val="24"/>
                <w:szCs w:val="24"/>
              </w:rPr>
              <w:fldChar w:fldCharType="end"/>
            </w:r>
          </w:hyperlink>
        </w:p>
        <w:p w14:paraId="65151104" w14:textId="38470999"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515" w:history="1">
            <w:r w:rsidRPr="00BC0071">
              <w:rPr>
                <w:rStyle w:val="Hyperlink"/>
                <w:noProof/>
                <w:sz w:val="24"/>
                <w:szCs w:val="24"/>
              </w:rPr>
              <w:t>5.5.</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Future Research Directions</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_Toc238751515 \h </w:instrText>
            </w:r>
            <w:r w:rsidRPr="00BC0071">
              <w:rPr>
                <w:noProof/>
                <w:webHidden/>
                <w:sz w:val="24"/>
                <w:szCs w:val="24"/>
              </w:rPr>
            </w:r>
            <w:r w:rsidRPr="00BC0071">
              <w:rPr>
                <w:noProof/>
                <w:webHidden/>
                <w:sz w:val="24"/>
                <w:szCs w:val="24"/>
              </w:rPr>
              <w:fldChar w:fldCharType="separate"/>
            </w:r>
            <w:r w:rsidRPr="00BC0071">
              <w:rPr>
                <w:noProof/>
                <w:webHidden/>
                <w:sz w:val="24"/>
                <w:szCs w:val="24"/>
              </w:rPr>
              <w:t>48</w:t>
            </w:r>
            <w:r w:rsidRPr="00BC0071">
              <w:rPr>
                <w:noProof/>
                <w:webHidden/>
                <w:sz w:val="24"/>
                <w:szCs w:val="24"/>
              </w:rPr>
              <w:fldChar w:fldCharType="end"/>
            </w:r>
          </w:hyperlink>
        </w:p>
        <w:p w14:paraId="743AC65A" w14:textId="1B9EE49D" w:rsidR="00BC0071" w:rsidRPr="00BC0071" w:rsidRDefault="00BC0071">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38751516" w:history="1">
            <w:r w:rsidRPr="00BC0071">
              <w:rPr>
                <w:rStyle w:val="Hyperlink"/>
                <w:noProof/>
                <w:sz w:val="24"/>
                <w:szCs w:val="24"/>
              </w:rPr>
              <w:t>References</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_Toc238751516 \h </w:instrText>
            </w:r>
            <w:r w:rsidRPr="00BC0071">
              <w:rPr>
                <w:noProof/>
                <w:webHidden/>
                <w:sz w:val="24"/>
                <w:szCs w:val="24"/>
              </w:rPr>
            </w:r>
            <w:r w:rsidRPr="00BC0071">
              <w:rPr>
                <w:noProof/>
                <w:webHidden/>
                <w:sz w:val="24"/>
                <w:szCs w:val="24"/>
              </w:rPr>
              <w:fldChar w:fldCharType="separate"/>
            </w:r>
            <w:r w:rsidRPr="00BC0071">
              <w:rPr>
                <w:noProof/>
                <w:webHidden/>
                <w:sz w:val="24"/>
                <w:szCs w:val="24"/>
              </w:rPr>
              <w:t>50</w:t>
            </w:r>
            <w:r w:rsidRPr="00BC0071">
              <w:rPr>
                <w:noProof/>
                <w:webHidden/>
                <w:sz w:val="24"/>
                <w:szCs w:val="24"/>
              </w:rPr>
              <w:fldChar w:fldCharType="end"/>
            </w:r>
          </w:hyperlink>
        </w:p>
        <w:p w14:paraId="0DD86D39" w14:textId="71C9AB75" w:rsidR="00BC0071" w:rsidRPr="00BC0071" w:rsidRDefault="00BC0071">
          <w:pPr>
            <w:pStyle w:val="TOC1"/>
            <w:tabs>
              <w:tab w:val="left" w:pos="440"/>
              <w:tab w:val="right" w:leader="dot" w:pos="9350"/>
            </w:tabs>
            <w:rPr>
              <w:rFonts w:asciiTheme="minorHAnsi" w:eastAsiaTheme="minorEastAsia" w:hAnsiTheme="minorHAnsi" w:cstheme="minorBidi"/>
              <w:noProof/>
              <w:kern w:val="2"/>
              <w:sz w:val="24"/>
              <w:szCs w:val="24"/>
              <w14:ligatures w14:val="standardContextual"/>
            </w:rPr>
          </w:pPr>
          <w:hyperlink w:anchor="_Toc238751517" w:history="1">
            <w:r w:rsidRPr="00BC0071">
              <w:rPr>
                <w:rStyle w:val="Hyperlink"/>
                <w:noProof/>
                <w:sz w:val="24"/>
                <w:szCs w:val="24"/>
              </w:rPr>
              <w:t>6.</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Appendix</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_Toc238751517 \h </w:instrText>
            </w:r>
            <w:r w:rsidRPr="00BC0071">
              <w:rPr>
                <w:noProof/>
                <w:webHidden/>
                <w:sz w:val="24"/>
                <w:szCs w:val="24"/>
              </w:rPr>
            </w:r>
            <w:r w:rsidRPr="00BC0071">
              <w:rPr>
                <w:noProof/>
                <w:webHidden/>
                <w:sz w:val="24"/>
                <w:szCs w:val="24"/>
              </w:rPr>
              <w:fldChar w:fldCharType="separate"/>
            </w:r>
            <w:r w:rsidRPr="00BC0071">
              <w:rPr>
                <w:noProof/>
                <w:webHidden/>
                <w:sz w:val="24"/>
                <w:szCs w:val="24"/>
              </w:rPr>
              <w:t>59</w:t>
            </w:r>
            <w:r w:rsidRPr="00BC0071">
              <w:rPr>
                <w:noProof/>
                <w:webHidden/>
                <w:sz w:val="24"/>
                <w:szCs w:val="24"/>
              </w:rPr>
              <w:fldChar w:fldCharType="end"/>
            </w:r>
          </w:hyperlink>
        </w:p>
        <w:p w14:paraId="42E2E75E" w14:textId="4BF488B6"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518" w:history="1">
            <w:r w:rsidRPr="00BC0071">
              <w:rPr>
                <w:rStyle w:val="Hyperlink"/>
                <w:noProof/>
                <w:sz w:val="24"/>
                <w:szCs w:val="24"/>
              </w:rPr>
              <w:t>6.1.</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Appendix A (Table 1): Summary of Included Studies</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_Toc238751518 \h </w:instrText>
            </w:r>
            <w:r w:rsidRPr="00BC0071">
              <w:rPr>
                <w:noProof/>
                <w:webHidden/>
                <w:sz w:val="24"/>
                <w:szCs w:val="24"/>
              </w:rPr>
            </w:r>
            <w:r w:rsidRPr="00BC0071">
              <w:rPr>
                <w:noProof/>
                <w:webHidden/>
                <w:sz w:val="24"/>
                <w:szCs w:val="24"/>
              </w:rPr>
              <w:fldChar w:fldCharType="separate"/>
            </w:r>
            <w:r w:rsidRPr="00BC0071">
              <w:rPr>
                <w:noProof/>
                <w:webHidden/>
                <w:sz w:val="24"/>
                <w:szCs w:val="24"/>
              </w:rPr>
              <w:t>59</w:t>
            </w:r>
            <w:r w:rsidRPr="00BC0071">
              <w:rPr>
                <w:noProof/>
                <w:webHidden/>
                <w:sz w:val="24"/>
                <w:szCs w:val="24"/>
              </w:rPr>
              <w:fldChar w:fldCharType="end"/>
            </w:r>
          </w:hyperlink>
        </w:p>
        <w:p w14:paraId="15D2DBD1" w14:textId="11E226E0"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519" w:history="1">
            <w:r w:rsidRPr="00BC0071">
              <w:rPr>
                <w:rStyle w:val="Hyperlink"/>
                <w:noProof/>
                <w:sz w:val="24"/>
                <w:szCs w:val="24"/>
              </w:rPr>
              <w:t>6.2.</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Appendix B: Table 2: CASP Tool</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_Toc238751519 \h </w:instrText>
            </w:r>
            <w:r w:rsidRPr="00BC0071">
              <w:rPr>
                <w:noProof/>
                <w:webHidden/>
                <w:sz w:val="24"/>
                <w:szCs w:val="24"/>
              </w:rPr>
            </w:r>
            <w:r w:rsidRPr="00BC0071">
              <w:rPr>
                <w:noProof/>
                <w:webHidden/>
                <w:sz w:val="24"/>
                <w:szCs w:val="24"/>
              </w:rPr>
              <w:fldChar w:fldCharType="separate"/>
            </w:r>
            <w:r w:rsidRPr="00BC0071">
              <w:rPr>
                <w:noProof/>
                <w:webHidden/>
                <w:sz w:val="24"/>
                <w:szCs w:val="24"/>
              </w:rPr>
              <w:t>75</w:t>
            </w:r>
            <w:r w:rsidRPr="00BC0071">
              <w:rPr>
                <w:noProof/>
                <w:webHidden/>
                <w:sz w:val="24"/>
                <w:szCs w:val="24"/>
              </w:rPr>
              <w:fldChar w:fldCharType="end"/>
            </w:r>
          </w:hyperlink>
        </w:p>
        <w:p w14:paraId="55478C29" w14:textId="35BD2F55" w:rsidR="00BC0071" w:rsidRPr="00BC0071" w:rsidRDefault="00BC0071">
          <w:pPr>
            <w:pStyle w:val="TOC2"/>
            <w:tabs>
              <w:tab w:val="left" w:pos="960"/>
              <w:tab w:val="right" w:leader="dot" w:pos="9350"/>
            </w:tabs>
            <w:rPr>
              <w:rFonts w:asciiTheme="minorHAnsi" w:eastAsiaTheme="minorEastAsia" w:hAnsiTheme="minorHAnsi" w:cstheme="minorBidi"/>
              <w:noProof/>
              <w:kern w:val="2"/>
              <w:sz w:val="24"/>
              <w:szCs w:val="24"/>
              <w14:ligatures w14:val="standardContextual"/>
            </w:rPr>
          </w:pPr>
          <w:hyperlink w:anchor="_Toc238751520" w:history="1">
            <w:r w:rsidRPr="00BC0071">
              <w:rPr>
                <w:rStyle w:val="Hyperlink"/>
                <w:noProof/>
                <w:sz w:val="24"/>
                <w:szCs w:val="24"/>
              </w:rPr>
              <w:t>6.3.</w:t>
            </w:r>
            <w:r w:rsidRPr="00BC0071">
              <w:rPr>
                <w:rFonts w:asciiTheme="minorHAnsi" w:eastAsiaTheme="minorEastAsia" w:hAnsiTheme="minorHAnsi" w:cstheme="minorBidi"/>
                <w:noProof/>
                <w:kern w:val="2"/>
                <w:sz w:val="24"/>
                <w:szCs w:val="24"/>
                <w14:ligatures w14:val="standardContextual"/>
              </w:rPr>
              <w:tab/>
            </w:r>
            <w:r w:rsidRPr="00BC0071">
              <w:rPr>
                <w:rStyle w:val="Hyperlink"/>
                <w:noProof/>
                <w:sz w:val="24"/>
                <w:szCs w:val="24"/>
              </w:rPr>
              <w:t>Appendix C: Table 3: Thematic Analysis Data Extraction</w:t>
            </w:r>
            <w:r w:rsidRPr="00BC0071">
              <w:rPr>
                <w:noProof/>
                <w:webHidden/>
                <w:sz w:val="24"/>
                <w:szCs w:val="24"/>
              </w:rPr>
              <w:tab/>
            </w:r>
            <w:r w:rsidRPr="00BC0071">
              <w:rPr>
                <w:noProof/>
                <w:webHidden/>
                <w:sz w:val="24"/>
                <w:szCs w:val="24"/>
              </w:rPr>
              <w:fldChar w:fldCharType="begin"/>
            </w:r>
            <w:r w:rsidRPr="00BC0071">
              <w:rPr>
                <w:noProof/>
                <w:webHidden/>
                <w:sz w:val="24"/>
                <w:szCs w:val="24"/>
              </w:rPr>
              <w:instrText xml:space="preserve"> PAGEREF _Toc238751520 \h </w:instrText>
            </w:r>
            <w:r w:rsidRPr="00BC0071">
              <w:rPr>
                <w:noProof/>
                <w:webHidden/>
                <w:sz w:val="24"/>
                <w:szCs w:val="24"/>
              </w:rPr>
            </w:r>
            <w:r w:rsidRPr="00BC0071">
              <w:rPr>
                <w:noProof/>
                <w:webHidden/>
                <w:sz w:val="24"/>
                <w:szCs w:val="24"/>
              </w:rPr>
              <w:fldChar w:fldCharType="separate"/>
            </w:r>
            <w:r w:rsidRPr="00BC0071">
              <w:rPr>
                <w:noProof/>
                <w:webHidden/>
                <w:sz w:val="24"/>
                <w:szCs w:val="24"/>
              </w:rPr>
              <w:t>77</w:t>
            </w:r>
            <w:r w:rsidRPr="00BC0071">
              <w:rPr>
                <w:noProof/>
                <w:webHidden/>
                <w:sz w:val="24"/>
                <w:szCs w:val="24"/>
              </w:rPr>
              <w:fldChar w:fldCharType="end"/>
            </w:r>
          </w:hyperlink>
        </w:p>
        <w:p w14:paraId="16F27471" w14:textId="34D8D351" w:rsidR="00EA4B6B" w:rsidRPr="002E3ED0" w:rsidRDefault="00EA4B6B" w:rsidP="00875014">
          <w:pPr>
            <w:spacing w:line="360" w:lineRule="auto"/>
            <w:rPr>
              <w:rFonts w:ascii="Times New Roman" w:hAnsi="Times New Roman" w:cs="Times New Roman"/>
              <w:sz w:val="24"/>
              <w:szCs w:val="24"/>
            </w:rPr>
          </w:pPr>
          <w:r w:rsidRPr="002E3ED0">
            <w:rPr>
              <w:rFonts w:ascii="Times New Roman" w:hAnsi="Times New Roman" w:cs="Times New Roman"/>
              <w:b/>
              <w:bCs/>
              <w:noProof/>
              <w:sz w:val="24"/>
              <w:szCs w:val="24"/>
            </w:rPr>
            <w:fldChar w:fldCharType="end"/>
          </w:r>
        </w:p>
      </w:sdtContent>
    </w:sdt>
    <w:p w14:paraId="6E69D403" w14:textId="4A207E83" w:rsidR="009B6F28" w:rsidRPr="002E3ED0" w:rsidRDefault="009B6F28">
      <w:pPr>
        <w:spacing w:after="160" w:line="259" w:lineRule="auto"/>
        <w:rPr>
          <w:rFonts w:ascii="Times New Roman" w:hAnsi="Times New Roman" w:cs="Times New Roman"/>
          <w:sz w:val="24"/>
          <w:szCs w:val="24"/>
        </w:rPr>
      </w:pPr>
      <w:r w:rsidRPr="002E3ED0">
        <w:rPr>
          <w:rFonts w:ascii="Times New Roman" w:hAnsi="Times New Roman" w:cs="Times New Roman"/>
          <w:sz w:val="24"/>
          <w:szCs w:val="24"/>
        </w:rPr>
        <w:lastRenderedPageBreak/>
        <w:br w:type="page"/>
      </w:r>
    </w:p>
    <w:p w14:paraId="0C0B1D47" w14:textId="77777777" w:rsidR="009B6F28" w:rsidRPr="002E3ED0" w:rsidRDefault="009B6F28" w:rsidP="009B6F28">
      <w:pPr>
        <w:rPr>
          <w:rFonts w:ascii="Times New Roman" w:hAnsi="Times New Roman" w:cs="Times New Roman"/>
          <w:b/>
          <w:bCs/>
          <w:sz w:val="24"/>
          <w:szCs w:val="24"/>
        </w:rPr>
      </w:pPr>
      <w:r w:rsidRPr="002E3ED0">
        <w:rPr>
          <w:rFonts w:ascii="Times New Roman" w:hAnsi="Times New Roman" w:cs="Times New Roman"/>
          <w:b/>
          <w:bCs/>
          <w:sz w:val="24"/>
          <w:szCs w:val="24"/>
        </w:rPr>
        <w:lastRenderedPageBreak/>
        <w:t>List of Figures</w:t>
      </w:r>
    </w:p>
    <w:tbl>
      <w:tblPr>
        <w:tblStyle w:val="GridTable4-Accent1"/>
        <w:tblW w:w="5000" w:type="pct"/>
        <w:tblLook w:val="04A0" w:firstRow="1" w:lastRow="0" w:firstColumn="1" w:lastColumn="0" w:noHBand="0" w:noVBand="1"/>
      </w:tblPr>
      <w:tblGrid>
        <w:gridCol w:w="2032"/>
        <w:gridCol w:w="6190"/>
        <w:gridCol w:w="1128"/>
      </w:tblGrid>
      <w:tr w:rsidR="009B6F28" w:rsidRPr="002E3ED0" w14:paraId="14FE22F1" w14:textId="77777777" w:rsidTr="009B6F2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7" w:type="pct"/>
            <w:hideMark/>
          </w:tcPr>
          <w:p w14:paraId="216EE571" w14:textId="77777777" w:rsidR="009B6F28" w:rsidRPr="002E3ED0" w:rsidRDefault="009B6F28">
            <w:pPr>
              <w:spacing w:line="375" w:lineRule="atLeast"/>
              <w:rPr>
                <w:rFonts w:ascii="Times New Roman" w:hAnsi="Times New Roman" w:cs="Times New Roman"/>
                <w:color w:val="auto"/>
                <w:sz w:val="24"/>
                <w:szCs w:val="24"/>
              </w:rPr>
            </w:pPr>
            <w:r w:rsidRPr="002E3ED0">
              <w:rPr>
                <w:rFonts w:ascii="Times New Roman" w:hAnsi="Times New Roman" w:cs="Times New Roman"/>
                <w:sz w:val="24"/>
                <w:szCs w:val="24"/>
              </w:rPr>
              <w:t>Figure No.</w:t>
            </w:r>
          </w:p>
        </w:tc>
        <w:tc>
          <w:tcPr>
            <w:tcW w:w="3310" w:type="pct"/>
            <w:hideMark/>
          </w:tcPr>
          <w:p w14:paraId="3664DFD1" w14:textId="77777777" w:rsidR="009B6F28" w:rsidRPr="002E3ED0" w:rsidRDefault="009B6F28">
            <w:pPr>
              <w:spacing w:line="375" w:lineRule="atLeast"/>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Title</w:t>
            </w:r>
          </w:p>
        </w:tc>
        <w:tc>
          <w:tcPr>
            <w:tcW w:w="603" w:type="pct"/>
            <w:hideMark/>
          </w:tcPr>
          <w:p w14:paraId="56EB1E81" w14:textId="77777777" w:rsidR="009B6F28" w:rsidRPr="002E3ED0" w:rsidRDefault="009B6F28">
            <w:pPr>
              <w:spacing w:line="375" w:lineRule="atLeast"/>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Page</w:t>
            </w:r>
          </w:p>
        </w:tc>
      </w:tr>
      <w:tr w:rsidR="009B6F28" w:rsidRPr="002E3ED0" w14:paraId="39FA59A2" w14:textId="77777777" w:rsidTr="009B6F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7" w:type="pct"/>
            <w:hideMark/>
          </w:tcPr>
          <w:p w14:paraId="748F367D" w14:textId="77777777" w:rsidR="009B6F28" w:rsidRPr="002E3ED0" w:rsidRDefault="009B6F28">
            <w:pPr>
              <w:spacing w:line="375" w:lineRule="atLeast"/>
              <w:rPr>
                <w:rFonts w:ascii="Times New Roman" w:hAnsi="Times New Roman" w:cs="Times New Roman"/>
                <w:sz w:val="24"/>
                <w:szCs w:val="24"/>
              </w:rPr>
            </w:pPr>
            <w:r w:rsidRPr="002E3ED0">
              <w:rPr>
                <w:rFonts w:ascii="Times New Roman" w:hAnsi="Times New Roman" w:cs="Times New Roman"/>
                <w:sz w:val="24"/>
                <w:szCs w:val="24"/>
              </w:rPr>
              <w:t>Figure 1</w:t>
            </w:r>
          </w:p>
        </w:tc>
        <w:tc>
          <w:tcPr>
            <w:tcW w:w="3310" w:type="pct"/>
            <w:hideMark/>
          </w:tcPr>
          <w:p w14:paraId="352A496E" w14:textId="77777777" w:rsidR="009B6F28" w:rsidRPr="002E3ED0" w:rsidRDefault="009B6F28">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Research Onion (Saunders et al., 2019)</w:t>
            </w:r>
          </w:p>
        </w:tc>
        <w:tc>
          <w:tcPr>
            <w:tcW w:w="603" w:type="pct"/>
            <w:hideMark/>
          </w:tcPr>
          <w:p w14:paraId="324FC9B8" w14:textId="7E2FCA2F" w:rsidR="009B6F28" w:rsidRPr="002E3ED0" w:rsidRDefault="009B6F28">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2</w:t>
            </w:r>
            <w:r w:rsidR="00F863FD" w:rsidRPr="002E3ED0">
              <w:rPr>
                <w:rFonts w:ascii="Times New Roman" w:hAnsi="Times New Roman" w:cs="Times New Roman"/>
                <w:sz w:val="24"/>
                <w:szCs w:val="24"/>
              </w:rPr>
              <w:t>3</w:t>
            </w:r>
          </w:p>
        </w:tc>
      </w:tr>
      <w:tr w:rsidR="009B6F28" w:rsidRPr="002E3ED0" w14:paraId="5F3A7A1F" w14:textId="77777777" w:rsidTr="009B6F28">
        <w:tc>
          <w:tcPr>
            <w:cnfStyle w:val="001000000000" w:firstRow="0" w:lastRow="0" w:firstColumn="1" w:lastColumn="0" w:oddVBand="0" w:evenVBand="0" w:oddHBand="0" w:evenHBand="0" w:firstRowFirstColumn="0" w:firstRowLastColumn="0" w:lastRowFirstColumn="0" w:lastRowLastColumn="0"/>
            <w:tcW w:w="1087" w:type="pct"/>
            <w:hideMark/>
          </w:tcPr>
          <w:p w14:paraId="544D61C2" w14:textId="77777777" w:rsidR="009B6F28" w:rsidRPr="002E3ED0" w:rsidRDefault="009B6F28">
            <w:pPr>
              <w:spacing w:line="375" w:lineRule="atLeast"/>
              <w:rPr>
                <w:rFonts w:ascii="Times New Roman" w:hAnsi="Times New Roman" w:cs="Times New Roman"/>
                <w:sz w:val="24"/>
                <w:szCs w:val="24"/>
              </w:rPr>
            </w:pPr>
            <w:r w:rsidRPr="002E3ED0">
              <w:rPr>
                <w:rFonts w:ascii="Times New Roman" w:hAnsi="Times New Roman" w:cs="Times New Roman"/>
                <w:sz w:val="24"/>
                <w:szCs w:val="24"/>
              </w:rPr>
              <w:t>Figure 2</w:t>
            </w:r>
          </w:p>
        </w:tc>
        <w:tc>
          <w:tcPr>
            <w:tcW w:w="3310" w:type="pct"/>
            <w:hideMark/>
          </w:tcPr>
          <w:p w14:paraId="37AC3B60" w14:textId="77777777" w:rsidR="009B6F28" w:rsidRPr="002E3ED0" w:rsidRDefault="009B6F28">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PRISMA Flow Diagram</w:t>
            </w:r>
          </w:p>
        </w:tc>
        <w:tc>
          <w:tcPr>
            <w:tcW w:w="603" w:type="pct"/>
            <w:hideMark/>
          </w:tcPr>
          <w:p w14:paraId="656E9AEE" w14:textId="79C64FD9" w:rsidR="009B6F28" w:rsidRPr="002E3ED0" w:rsidRDefault="009B6F28">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2</w:t>
            </w:r>
            <w:r w:rsidR="00F863FD" w:rsidRPr="002E3ED0">
              <w:rPr>
                <w:rFonts w:ascii="Times New Roman" w:hAnsi="Times New Roman" w:cs="Times New Roman"/>
                <w:sz w:val="24"/>
                <w:szCs w:val="24"/>
              </w:rPr>
              <w:t>7</w:t>
            </w:r>
          </w:p>
        </w:tc>
      </w:tr>
    </w:tbl>
    <w:p w14:paraId="2202710A" w14:textId="77777777" w:rsidR="009B6F28" w:rsidRPr="002E3ED0" w:rsidRDefault="009B6F28" w:rsidP="009B6F28">
      <w:pPr>
        <w:rPr>
          <w:rFonts w:ascii="Times New Roman" w:hAnsi="Times New Roman" w:cs="Times New Roman"/>
          <w:b/>
          <w:bCs/>
          <w:sz w:val="24"/>
          <w:szCs w:val="24"/>
        </w:rPr>
      </w:pPr>
    </w:p>
    <w:p w14:paraId="008C60C2" w14:textId="54998EA7" w:rsidR="009B6F28" w:rsidRPr="002E3ED0" w:rsidRDefault="009B6F28" w:rsidP="009B6F28">
      <w:pPr>
        <w:rPr>
          <w:rFonts w:ascii="Times New Roman" w:hAnsi="Times New Roman" w:cs="Times New Roman"/>
          <w:b/>
          <w:bCs/>
          <w:sz w:val="24"/>
          <w:szCs w:val="24"/>
        </w:rPr>
      </w:pPr>
      <w:r w:rsidRPr="002E3ED0">
        <w:rPr>
          <w:rFonts w:ascii="Times New Roman" w:hAnsi="Times New Roman" w:cs="Times New Roman"/>
          <w:b/>
          <w:bCs/>
          <w:sz w:val="24"/>
          <w:szCs w:val="24"/>
        </w:rPr>
        <w:t>List of Tables</w:t>
      </w:r>
    </w:p>
    <w:tbl>
      <w:tblPr>
        <w:tblStyle w:val="GridTable4-Accent1"/>
        <w:tblW w:w="5000" w:type="pct"/>
        <w:tblLook w:val="04A0" w:firstRow="1" w:lastRow="0" w:firstColumn="1" w:lastColumn="0" w:noHBand="0" w:noVBand="1"/>
      </w:tblPr>
      <w:tblGrid>
        <w:gridCol w:w="1682"/>
        <w:gridCol w:w="6668"/>
        <w:gridCol w:w="1000"/>
      </w:tblGrid>
      <w:tr w:rsidR="009B6F28" w:rsidRPr="002E3ED0" w14:paraId="5183A9D4" w14:textId="77777777" w:rsidTr="009B6F2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9" w:type="pct"/>
            <w:hideMark/>
          </w:tcPr>
          <w:p w14:paraId="2468AD72" w14:textId="77777777" w:rsidR="009B6F28" w:rsidRPr="002E3ED0" w:rsidRDefault="009B6F28">
            <w:pPr>
              <w:spacing w:line="375" w:lineRule="atLeast"/>
              <w:rPr>
                <w:rFonts w:ascii="Times New Roman" w:hAnsi="Times New Roman" w:cs="Times New Roman"/>
                <w:color w:val="auto"/>
                <w:sz w:val="24"/>
                <w:szCs w:val="24"/>
              </w:rPr>
            </w:pPr>
            <w:r w:rsidRPr="002E3ED0">
              <w:rPr>
                <w:rFonts w:ascii="Times New Roman" w:hAnsi="Times New Roman" w:cs="Times New Roman"/>
                <w:sz w:val="24"/>
                <w:szCs w:val="24"/>
              </w:rPr>
              <w:t>Table No.</w:t>
            </w:r>
          </w:p>
        </w:tc>
        <w:tc>
          <w:tcPr>
            <w:tcW w:w="3566" w:type="pct"/>
            <w:hideMark/>
          </w:tcPr>
          <w:p w14:paraId="5ED2C661" w14:textId="77777777" w:rsidR="009B6F28" w:rsidRPr="002E3ED0" w:rsidRDefault="009B6F28">
            <w:pPr>
              <w:spacing w:line="375" w:lineRule="atLeast"/>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Title</w:t>
            </w:r>
          </w:p>
        </w:tc>
        <w:tc>
          <w:tcPr>
            <w:tcW w:w="535" w:type="pct"/>
            <w:hideMark/>
          </w:tcPr>
          <w:p w14:paraId="57116605" w14:textId="77777777" w:rsidR="009B6F28" w:rsidRPr="002E3ED0" w:rsidRDefault="009B6F28">
            <w:pPr>
              <w:spacing w:line="375" w:lineRule="atLeast"/>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Page</w:t>
            </w:r>
          </w:p>
        </w:tc>
      </w:tr>
      <w:tr w:rsidR="009B6F28" w:rsidRPr="002E3ED0" w14:paraId="6E7D2C8D" w14:textId="77777777" w:rsidTr="009B6F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9" w:type="pct"/>
            <w:hideMark/>
          </w:tcPr>
          <w:p w14:paraId="431705F4" w14:textId="77777777" w:rsidR="009B6F28" w:rsidRPr="002E3ED0" w:rsidRDefault="009B6F28">
            <w:pPr>
              <w:spacing w:line="375" w:lineRule="atLeast"/>
              <w:rPr>
                <w:rFonts w:ascii="Times New Roman" w:hAnsi="Times New Roman" w:cs="Times New Roman"/>
                <w:sz w:val="24"/>
                <w:szCs w:val="24"/>
              </w:rPr>
            </w:pPr>
            <w:r w:rsidRPr="002E3ED0">
              <w:rPr>
                <w:rFonts w:ascii="Times New Roman" w:hAnsi="Times New Roman" w:cs="Times New Roman"/>
                <w:sz w:val="24"/>
                <w:szCs w:val="24"/>
              </w:rPr>
              <w:t>Table 1</w:t>
            </w:r>
          </w:p>
        </w:tc>
        <w:tc>
          <w:tcPr>
            <w:tcW w:w="3566" w:type="pct"/>
            <w:hideMark/>
          </w:tcPr>
          <w:p w14:paraId="654C369B" w14:textId="77777777" w:rsidR="009B6F28" w:rsidRPr="002E3ED0" w:rsidRDefault="009B6F28">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Inclusion/Exclusion Criteria</w:t>
            </w:r>
          </w:p>
        </w:tc>
        <w:tc>
          <w:tcPr>
            <w:tcW w:w="535" w:type="pct"/>
            <w:hideMark/>
          </w:tcPr>
          <w:p w14:paraId="37D7D7C3" w14:textId="77777777" w:rsidR="009B6F28" w:rsidRPr="002E3ED0" w:rsidRDefault="009B6F28">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30</w:t>
            </w:r>
          </w:p>
        </w:tc>
      </w:tr>
      <w:tr w:rsidR="009B6F28" w:rsidRPr="002E3ED0" w14:paraId="1981671C" w14:textId="77777777" w:rsidTr="009B6F28">
        <w:tc>
          <w:tcPr>
            <w:cnfStyle w:val="001000000000" w:firstRow="0" w:lastRow="0" w:firstColumn="1" w:lastColumn="0" w:oddVBand="0" w:evenVBand="0" w:oddHBand="0" w:evenHBand="0" w:firstRowFirstColumn="0" w:firstRowLastColumn="0" w:lastRowFirstColumn="0" w:lastRowLastColumn="0"/>
            <w:tcW w:w="899" w:type="pct"/>
            <w:hideMark/>
          </w:tcPr>
          <w:p w14:paraId="53231FD2" w14:textId="061E51D5" w:rsidR="009B6F28" w:rsidRPr="002E3ED0" w:rsidRDefault="00F863FD">
            <w:pPr>
              <w:spacing w:line="375" w:lineRule="atLeast"/>
              <w:rPr>
                <w:rFonts w:ascii="Times New Roman" w:hAnsi="Times New Roman" w:cs="Times New Roman"/>
                <w:sz w:val="24"/>
                <w:szCs w:val="24"/>
              </w:rPr>
            </w:pPr>
            <w:r w:rsidRPr="002E3ED0">
              <w:rPr>
                <w:rFonts w:ascii="Times New Roman" w:hAnsi="Times New Roman" w:cs="Times New Roman"/>
                <w:sz w:val="24"/>
                <w:szCs w:val="24"/>
              </w:rPr>
              <w:t>Table 2</w:t>
            </w:r>
          </w:p>
        </w:tc>
        <w:tc>
          <w:tcPr>
            <w:tcW w:w="3566" w:type="pct"/>
            <w:hideMark/>
          </w:tcPr>
          <w:p w14:paraId="0588AC36" w14:textId="61AEF5B5" w:rsidR="009B6F28" w:rsidRPr="002E3ED0" w:rsidRDefault="00F863FD">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Literature Review Synthesis Table (Appendix A)</w:t>
            </w:r>
          </w:p>
        </w:tc>
        <w:tc>
          <w:tcPr>
            <w:tcW w:w="535" w:type="pct"/>
            <w:hideMark/>
          </w:tcPr>
          <w:p w14:paraId="67433CD3" w14:textId="507E0EAF" w:rsidR="009B6F28" w:rsidRPr="002E3ED0" w:rsidRDefault="00F863FD">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62</w:t>
            </w:r>
          </w:p>
        </w:tc>
      </w:tr>
      <w:tr w:rsidR="00F863FD" w:rsidRPr="002E3ED0" w14:paraId="40C793B2" w14:textId="77777777" w:rsidTr="009B6F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9" w:type="pct"/>
          </w:tcPr>
          <w:p w14:paraId="2C649B4D" w14:textId="5BB46896" w:rsidR="00F863FD" w:rsidRPr="002E3ED0" w:rsidRDefault="002E3ED0">
            <w:pPr>
              <w:spacing w:line="375" w:lineRule="atLeast"/>
              <w:rPr>
                <w:rFonts w:ascii="Times New Roman" w:hAnsi="Times New Roman" w:cs="Times New Roman"/>
                <w:sz w:val="24"/>
                <w:szCs w:val="24"/>
              </w:rPr>
            </w:pPr>
            <w:r w:rsidRPr="002E3ED0">
              <w:rPr>
                <w:rFonts w:ascii="Times New Roman" w:hAnsi="Times New Roman" w:cs="Times New Roman"/>
                <w:sz w:val="24"/>
                <w:szCs w:val="24"/>
              </w:rPr>
              <w:t>Table 3</w:t>
            </w:r>
          </w:p>
        </w:tc>
        <w:tc>
          <w:tcPr>
            <w:tcW w:w="3566" w:type="pct"/>
          </w:tcPr>
          <w:p w14:paraId="2AA6A2B4" w14:textId="1FF4A893" w:rsidR="00F863FD"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CASP Tool</w:t>
            </w:r>
            <w:r w:rsidR="00F863FD" w:rsidRPr="002E3ED0">
              <w:rPr>
                <w:rFonts w:ascii="Times New Roman" w:hAnsi="Times New Roman" w:cs="Times New Roman"/>
                <w:sz w:val="24"/>
                <w:szCs w:val="24"/>
              </w:rPr>
              <w:t xml:space="preserve"> (Appendix B)</w:t>
            </w:r>
          </w:p>
        </w:tc>
        <w:tc>
          <w:tcPr>
            <w:tcW w:w="535" w:type="pct"/>
          </w:tcPr>
          <w:p w14:paraId="55BCA30A" w14:textId="6A0F4613" w:rsidR="00F863FD" w:rsidRPr="002E3ED0" w:rsidRDefault="00F863FD">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7</w:t>
            </w:r>
            <w:r w:rsidR="002E3ED0" w:rsidRPr="002E3ED0">
              <w:rPr>
                <w:rFonts w:ascii="Times New Roman" w:hAnsi="Times New Roman" w:cs="Times New Roman"/>
                <w:sz w:val="24"/>
                <w:szCs w:val="24"/>
              </w:rPr>
              <w:t>7</w:t>
            </w:r>
          </w:p>
        </w:tc>
      </w:tr>
      <w:tr w:rsidR="002E3ED0" w:rsidRPr="002E3ED0" w14:paraId="361B1C78" w14:textId="77777777" w:rsidTr="009B6F28">
        <w:tc>
          <w:tcPr>
            <w:cnfStyle w:val="001000000000" w:firstRow="0" w:lastRow="0" w:firstColumn="1" w:lastColumn="0" w:oddVBand="0" w:evenVBand="0" w:oddHBand="0" w:evenHBand="0" w:firstRowFirstColumn="0" w:firstRowLastColumn="0" w:lastRowFirstColumn="0" w:lastRowLastColumn="0"/>
            <w:tcW w:w="899" w:type="pct"/>
          </w:tcPr>
          <w:p w14:paraId="1E463FE2" w14:textId="59D20230" w:rsidR="002E3ED0" w:rsidRPr="002E3ED0" w:rsidRDefault="002E3ED0">
            <w:pPr>
              <w:spacing w:line="375" w:lineRule="atLeast"/>
              <w:rPr>
                <w:rFonts w:ascii="Times New Roman" w:hAnsi="Times New Roman" w:cs="Times New Roman"/>
                <w:sz w:val="24"/>
                <w:szCs w:val="24"/>
              </w:rPr>
            </w:pPr>
            <w:r w:rsidRPr="002E3ED0">
              <w:rPr>
                <w:rFonts w:ascii="Times New Roman" w:hAnsi="Times New Roman" w:cs="Times New Roman"/>
                <w:sz w:val="24"/>
                <w:szCs w:val="24"/>
              </w:rPr>
              <w:t>Table 4</w:t>
            </w:r>
          </w:p>
        </w:tc>
        <w:tc>
          <w:tcPr>
            <w:tcW w:w="3566" w:type="pct"/>
          </w:tcPr>
          <w:p w14:paraId="080D9327" w14:textId="0509F4A3"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Thematic Analysis Data Extraction (Appendix C)</w:t>
            </w:r>
          </w:p>
        </w:tc>
        <w:tc>
          <w:tcPr>
            <w:tcW w:w="535" w:type="pct"/>
          </w:tcPr>
          <w:p w14:paraId="0BD2EEAD" w14:textId="0DD1E9B8"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80</w:t>
            </w:r>
          </w:p>
        </w:tc>
      </w:tr>
    </w:tbl>
    <w:p w14:paraId="6C891986" w14:textId="77777777" w:rsidR="009B6F28" w:rsidRPr="002E3ED0" w:rsidRDefault="009B6F28" w:rsidP="009B6F28">
      <w:pPr>
        <w:rPr>
          <w:rFonts w:ascii="Times New Roman" w:hAnsi="Times New Roman" w:cs="Times New Roman"/>
          <w:b/>
          <w:bCs/>
          <w:sz w:val="24"/>
          <w:szCs w:val="24"/>
        </w:rPr>
      </w:pPr>
    </w:p>
    <w:p w14:paraId="5EF9734A" w14:textId="69368B41" w:rsidR="009B6F28" w:rsidRPr="002E3ED0" w:rsidRDefault="009B6F28" w:rsidP="009B6F28">
      <w:pPr>
        <w:rPr>
          <w:rFonts w:ascii="Times New Roman" w:hAnsi="Times New Roman" w:cs="Times New Roman"/>
          <w:b/>
          <w:bCs/>
          <w:sz w:val="24"/>
          <w:szCs w:val="24"/>
        </w:rPr>
      </w:pPr>
      <w:r w:rsidRPr="002E3ED0">
        <w:rPr>
          <w:rFonts w:ascii="Times New Roman" w:hAnsi="Times New Roman" w:cs="Times New Roman"/>
          <w:b/>
          <w:bCs/>
          <w:sz w:val="24"/>
          <w:szCs w:val="24"/>
        </w:rPr>
        <w:t>List of Abbreviations</w:t>
      </w:r>
    </w:p>
    <w:tbl>
      <w:tblPr>
        <w:tblStyle w:val="GridTable4-Accent1"/>
        <w:tblW w:w="5000" w:type="pct"/>
        <w:tblLook w:val="04A0" w:firstRow="1" w:lastRow="0" w:firstColumn="1" w:lastColumn="0" w:noHBand="0" w:noVBand="1"/>
      </w:tblPr>
      <w:tblGrid>
        <w:gridCol w:w="1722"/>
        <w:gridCol w:w="7628"/>
      </w:tblGrid>
      <w:tr w:rsidR="009B6F28" w:rsidRPr="002E3ED0" w14:paraId="1C85A46E" w14:textId="77777777" w:rsidTr="009B6F2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1" w:type="pct"/>
            <w:hideMark/>
          </w:tcPr>
          <w:p w14:paraId="22C8BFBE" w14:textId="77777777" w:rsidR="009B6F28" w:rsidRPr="002E3ED0" w:rsidRDefault="009B6F28">
            <w:pPr>
              <w:spacing w:line="375" w:lineRule="atLeast"/>
              <w:rPr>
                <w:rFonts w:ascii="Times New Roman" w:hAnsi="Times New Roman" w:cs="Times New Roman"/>
                <w:color w:val="auto"/>
                <w:sz w:val="24"/>
                <w:szCs w:val="24"/>
              </w:rPr>
            </w:pPr>
            <w:r w:rsidRPr="002E3ED0">
              <w:rPr>
                <w:rFonts w:ascii="Times New Roman" w:hAnsi="Times New Roman" w:cs="Times New Roman"/>
                <w:sz w:val="24"/>
                <w:szCs w:val="24"/>
              </w:rPr>
              <w:t>Abbreviation</w:t>
            </w:r>
          </w:p>
        </w:tc>
        <w:tc>
          <w:tcPr>
            <w:tcW w:w="4079" w:type="pct"/>
            <w:hideMark/>
          </w:tcPr>
          <w:p w14:paraId="0A70980B" w14:textId="77777777" w:rsidR="009B6F28" w:rsidRPr="002E3ED0" w:rsidRDefault="009B6F28">
            <w:pPr>
              <w:spacing w:line="375" w:lineRule="atLeast"/>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Full Form</w:t>
            </w:r>
          </w:p>
        </w:tc>
      </w:tr>
      <w:tr w:rsidR="009B6F28" w:rsidRPr="002E3ED0" w14:paraId="1395DE44" w14:textId="77777777" w:rsidTr="009B6F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1" w:type="pct"/>
            <w:hideMark/>
          </w:tcPr>
          <w:p w14:paraId="4E01DFE9" w14:textId="77777777" w:rsidR="009B6F28" w:rsidRPr="002E3ED0" w:rsidRDefault="009B6F28">
            <w:pPr>
              <w:spacing w:line="375" w:lineRule="atLeast"/>
              <w:rPr>
                <w:rFonts w:ascii="Times New Roman" w:hAnsi="Times New Roman" w:cs="Times New Roman"/>
                <w:sz w:val="24"/>
                <w:szCs w:val="24"/>
              </w:rPr>
            </w:pPr>
            <w:r w:rsidRPr="002E3ED0">
              <w:rPr>
                <w:rFonts w:ascii="Times New Roman" w:hAnsi="Times New Roman" w:cs="Times New Roman"/>
                <w:sz w:val="24"/>
                <w:szCs w:val="24"/>
              </w:rPr>
              <w:t>AI</w:t>
            </w:r>
          </w:p>
        </w:tc>
        <w:tc>
          <w:tcPr>
            <w:tcW w:w="4079" w:type="pct"/>
            <w:hideMark/>
          </w:tcPr>
          <w:p w14:paraId="38F7C037" w14:textId="77777777" w:rsidR="009B6F28" w:rsidRPr="002E3ED0" w:rsidRDefault="009B6F28">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Artificial Intelligence</w:t>
            </w:r>
          </w:p>
        </w:tc>
      </w:tr>
      <w:tr w:rsidR="009B6F28" w:rsidRPr="002E3ED0" w14:paraId="1E6F7438" w14:textId="77777777" w:rsidTr="009B6F28">
        <w:tc>
          <w:tcPr>
            <w:cnfStyle w:val="001000000000" w:firstRow="0" w:lastRow="0" w:firstColumn="1" w:lastColumn="0" w:oddVBand="0" w:evenVBand="0" w:oddHBand="0" w:evenHBand="0" w:firstRowFirstColumn="0" w:firstRowLastColumn="0" w:lastRowFirstColumn="0" w:lastRowLastColumn="0"/>
            <w:tcW w:w="921" w:type="pct"/>
            <w:hideMark/>
          </w:tcPr>
          <w:p w14:paraId="777C99D6" w14:textId="77777777" w:rsidR="009B6F28" w:rsidRPr="002E3ED0" w:rsidRDefault="009B6F28">
            <w:pPr>
              <w:spacing w:line="375" w:lineRule="atLeast"/>
              <w:rPr>
                <w:rFonts w:ascii="Times New Roman" w:hAnsi="Times New Roman" w:cs="Times New Roman"/>
                <w:sz w:val="24"/>
                <w:szCs w:val="24"/>
              </w:rPr>
            </w:pPr>
            <w:r w:rsidRPr="002E3ED0">
              <w:rPr>
                <w:rFonts w:ascii="Times New Roman" w:hAnsi="Times New Roman" w:cs="Times New Roman"/>
                <w:sz w:val="24"/>
                <w:szCs w:val="24"/>
              </w:rPr>
              <w:t>AMSTAR</w:t>
            </w:r>
          </w:p>
        </w:tc>
        <w:tc>
          <w:tcPr>
            <w:tcW w:w="4079" w:type="pct"/>
            <w:hideMark/>
          </w:tcPr>
          <w:p w14:paraId="02269D5C" w14:textId="77777777" w:rsidR="009B6F28" w:rsidRPr="002E3ED0" w:rsidRDefault="009B6F28">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A Measurement Tool to Assess Systematic Reviews</w:t>
            </w:r>
          </w:p>
        </w:tc>
      </w:tr>
      <w:tr w:rsidR="009B6F28" w:rsidRPr="002E3ED0" w14:paraId="2CA1118A" w14:textId="77777777" w:rsidTr="009B6F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1" w:type="pct"/>
            <w:hideMark/>
          </w:tcPr>
          <w:p w14:paraId="34CA38C0" w14:textId="77777777" w:rsidR="009B6F28" w:rsidRPr="002E3ED0" w:rsidRDefault="009B6F28">
            <w:pPr>
              <w:spacing w:line="375" w:lineRule="atLeast"/>
              <w:rPr>
                <w:rFonts w:ascii="Times New Roman" w:hAnsi="Times New Roman" w:cs="Times New Roman"/>
                <w:sz w:val="24"/>
                <w:szCs w:val="24"/>
              </w:rPr>
            </w:pPr>
            <w:r w:rsidRPr="002E3ED0">
              <w:rPr>
                <w:rFonts w:ascii="Times New Roman" w:hAnsi="Times New Roman" w:cs="Times New Roman"/>
                <w:sz w:val="24"/>
                <w:szCs w:val="24"/>
              </w:rPr>
              <w:t>API</w:t>
            </w:r>
          </w:p>
        </w:tc>
        <w:tc>
          <w:tcPr>
            <w:tcW w:w="4079" w:type="pct"/>
            <w:hideMark/>
          </w:tcPr>
          <w:p w14:paraId="4CEFF544" w14:textId="77777777" w:rsidR="009B6F28" w:rsidRPr="002E3ED0" w:rsidRDefault="009B6F28">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Application Programming Interface</w:t>
            </w:r>
          </w:p>
        </w:tc>
      </w:tr>
      <w:tr w:rsidR="009B6F28" w:rsidRPr="002E3ED0" w14:paraId="15C11D8A" w14:textId="77777777" w:rsidTr="009B6F28">
        <w:tc>
          <w:tcPr>
            <w:cnfStyle w:val="001000000000" w:firstRow="0" w:lastRow="0" w:firstColumn="1" w:lastColumn="0" w:oddVBand="0" w:evenVBand="0" w:oddHBand="0" w:evenHBand="0" w:firstRowFirstColumn="0" w:firstRowLastColumn="0" w:lastRowFirstColumn="0" w:lastRowLastColumn="0"/>
            <w:tcW w:w="921" w:type="pct"/>
            <w:hideMark/>
          </w:tcPr>
          <w:p w14:paraId="3A2A9AD3" w14:textId="77777777" w:rsidR="009B6F28" w:rsidRPr="002E3ED0" w:rsidRDefault="009B6F28">
            <w:pPr>
              <w:spacing w:line="375" w:lineRule="atLeast"/>
              <w:rPr>
                <w:rFonts w:ascii="Times New Roman" w:hAnsi="Times New Roman" w:cs="Times New Roman"/>
                <w:sz w:val="24"/>
                <w:szCs w:val="24"/>
              </w:rPr>
            </w:pPr>
            <w:r w:rsidRPr="002E3ED0">
              <w:rPr>
                <w:rFonts w:ascii="Times New Roman" w:hAnsi="Times New Roman" w:cs="Times New Roman"/>
                <w:sz w:val="24"/>
                <w:szCs w:val="24"/>
              </w:rPr>
              <w:t>CASP</w:t>
            </w:r>
          </w:p>
        </w:tc>
        <w:tc>
          <w:tcPr>
            <w:tcW w:w="4079" w:type="pct"/>
            <w:hideMark/>
          </w:tcPr>
          <w:p w14:paraId="0F825344" w14:textId="77777777" w:rsidR="009B6F28" w:rsidRPr="002E3ED0" w:rsidRDefault="009B6F28">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Critical Appraisal Skills Programme</w:t>
            </w:r>
          </w:p>
        </w:tc>
      </w:tr>
      <w:tr w:rsidR="009B6F28" w:rsidRPr="002E3ED0" w14:paraId="1AA1252E" w14:textId="77777777" w:rsidTr="009B6F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1" w:type="pct"/>
            <w:hideMark/>
          </w:tcPr>
          <w:p w14:paraId="2C96F5B3" w14:textId="77777777" w:rsidR="009B6F28" w:rsidRPr="002E3ED0" w:rsidRDefault="009B6F28">
            <w:pPr>
              <w:spacing w:line="375" w:lineRule="atLeast"/>
              <w:rPr>
                <w:rFonts w:ascii="Times New Roman" w:hAnsi="Times New Roman" w:cs="Times New Roman"/>
                <w:sz w:val="24"/>
                <w:szCs w:val="24"/>
              </w:rPr>
            </w:pPr>
            <w:r w:rsidRPr="002E3ED0">
              <w:rPr>
                <w:rFonts w:ascii="Times New Roman" w:hAnsi="Times New Roman" w:cs="Times New Roman"/>
                <w:sz w:val="24"/>
                <w:szCs w:val="24"/>
              </w:rPr>
              <w:t>CBDC</w:t>
            </w:r>
          </w:p>
        </w:tc>
        <w:tc>
          <w:tcPr>
            <w:tcW w:w="4079" w:type="pct"/>
            <w:hideMark/>
          </w:tcPr>
          <w:p w14:paraId="365CA134" w14:textId="77777777" w:rsidR="009B6F28" w:rsidRPr="002E3ED0" w:rsidRDefault="009B6F28">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Central Bank Digital Currency</w:t>
            </w:r>
          </w:p>
        </w:tc>
      </w:tr>
      <w:tr w:rsidR="009B6F28" w:rsidRPr="002E3ED0" w14:paraId="66846594" w14:textId="77777777" w:rsidTr="009B6F28">
        <w:tc>
          <w:tcPr>
            <w:cnfStyle w:val="001000000000" w:firstRow="0" w:lastRow="0" w:firstColumn="1" w:lastColumn="0" w:oddVBand="0" w:evenVBand="0" w:oddHBand="0" w:evenHBand="0" w:firstRowFirstColumn="0" w:firstRowLastColumn="0" w:lastRowFirstColumn="0" w:lastRowLastColumn="0"/>
            <w:tcW w:w="921" w:type="pct"/>
            <w:hideMark/>
          </w:tcPr>
          <w:p w14:paraId="331C0EA8" w14:textId="77777777" w:rsidR="009B6F28" w:rsidRPr="002E3ED0" w:rsidRDefault="009B6F28">
            <w:pPr>
              <w:spacing w:line="375" w:lineRule="atLeast"/>
              <w:rPr>
                <w:rFonts w:ascii="Times New Roman" w:hAnsi="Times New Roman" w:cs="Times New Roman"/>
                <w:sz w:val="24"/>
                <w:szCs w:val="24"/>
              </w:rPr>
            </w:pPr>
            <w:r w:rsidRPr="002E3ED0">
              <w:rPr>
                <w:rFonts w:ascii="Times New Roman" w:hAnsi="Times New Roman" w:cs="Times New Roman"/>
                <w:sz w:val="24"/>
                <w:szCs w:val="24"/>
              </w:rPr>
              <w:t>DORA</w:t>
            </w:r>
          </w:p>
        </w:tc>
        <w:tc>
          <w:tcPr>
            <w:tcW w:w="4079" w:type="pct"/>
            <w:hideMark/>
          </w:tcPr>
          <w:p w14:paraId="566B1EAB" w14:textId="77777777" w:rsidR="009B6F28" w:rsidRPr="002E3ED0" w:rsidRDefault="009B6F28">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Digital Operational Resilience Act</w:t>
            </w:r>
          </w:p>
        </w:tc>
      </w:tr>
      <w:tr w:rsidR="009B6F28" w:rsidRPr="002E3ED0" w14:paraId="58D8CA9D" w14:textId="77777777" w:rsidTr="009B6F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1" w:type="pct"/>
            <w:hideMark/>
          </w:tcPr>
          <w:p w14:paraId="0039C858" w14:textId="77777777" w:rsidR="009B6F28" w:rsidRPr="002E3ED0" w:rsidRDefault="009B6F28">
            <w:pPr>
              <w:spacing w:line="375" w:lineRule="atLeast"/>
              <w:rPr>
                <w:rFonts w:ascii="Times New Roman" w:hAnsi="Times New Roman" w:cs="Times New Roman"/>
                <w:sz w:val="24"/>
                <w:szCs w:val="24"/>
              </w:rPr>
            </w:pPr>
            <w:r w:rsidRPr="002E3ED0">
              <w:rPr>
                <w:rFonts w:ascii="Times New Roman" w:hAnsi="Times New Roman" w:cs="Times New Roman"/>
                <w:sz w:val="24"/>
                <w:szCs w:val="24"/>
              </w:rPr>
              <w:t>FCA</w:t>
            </w:r>
          </w:p>
        </w:tc>
        <w:tc>
          <w:tcPr>
            <w:tcW w:w="4079" w:type="pct"/>
            <w:hideMark/>
          </w:tcPr>
          <w:p w14:paraId="43C788D2" w14:textId="77777777" w:rsidR="009B6F28" w:rsidRPr="002E3ED0" w:rsidRDefault="009B6F28">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Financial Conduct Authority</w:t>
            </w:r>
          </w:p>
        </w:tc>
      </w:tr>
      <w:tr w:rsidR="009B6F28" w:rsidRPr="002E3ED0" w14:paraId="6369FDDC" w14:textId="77777777" w:rsidTr="009B6F28">
        <w:tc>
          <w:tcPr>
            <w:cnfStyle w:val="001000000000" w:firstRow="0" w:lastRow="0" w:firstColumn="1" w:lastColumn="0" w:oddVBand="0" w:evenVBand="0" w:oddHBand="0" w:evenHBand="0" w:firstRowFirstColumn="0" w:firstRowLastColumn="0" w:lastRowFirstColumn="0" w:lastRowLastColumn="0"/>
            <w:tcW w:w="921" w:type="pct"/>
            <w:hideMark/>
          </w:tcPr>
          <w:p w14:paraId="0FE1C799" w14:textId="77777777" w:rsidR="009B6F28" w:rsidRPr="002E3ED0" w:rsidRDefault="009B6F28">
            <w:pPr>
              <w:spacing w:line="375" w:lineRule="atLeast"/>
              <w:rPr>
                <w:rFonts w:ascii="Times New Roman" w:hAnsi="Times New Roman" w:cs="Times New Roman"/>
                <w:sz w:val="24"/>
                <w:szCs w:val="24"/>
              </w:rPr>
            </w:pPr>
            <w:r w:rsidRPr="002E3ED0">
              <w:rPr>
                <w:rFonts w:ascii="Times New Roman" w:hAnsi="Times New Roman" w:cs="Times New Roman"/>
                <w:sz w:val="24"/>
                <w:szCs w:val="24"/>
              </w:rPr>
              <w:t>FinTech</w:t>
            </w:r>
          </w:p>
        </w:tc>
        <w:tc>
          <w:tcPr>
            <w:tcW w:w="4079" w:type="pct"/>
            <w:hideMark/>
          </w:tcPr>
          <w:p w14:paraId="63B2F4E6" w14:textId="77777777" w:rsidR="009B6F28" w:rsidRPr="002E3ED0" w:rsidRDefault="009B6F28">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Financial Technology</w:t>
            </w:r>
          </w:p>
        </w:tc>
      </w:tr>
      <w:tr w:rsidR="009B6F28" w:rsidRPr="002E3ED0" w14:paraId="01E455A4" w14:textId="77777777" w:rsidTr="009B6F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1" w:type="pct"/>
            <w:hideMark/>
          </w:tcPr>
          <w:p w14:paraId="743CC6BF" w14:textId="77777777" w:rsidR="009B6F28" w:rsidRPr="002E3ED0" w:rsidRDefault="009B6F28">
            <w:pPr>
              <w:spacing w:line="375" w:lineRule="atLeast"/>
              <w:rPr>
                <w:rFonts w:ascii="Times New Roman" w:hAnsi="Times New Roman" w:cs="Times New Roman"/>
                <w:sz w:val="24"/>
                <w:szCs w:val="24"/>
              </w:rPr>
            </w:pPr>
            <w:r w:rsidRPr="002E3ED0">
              <w:rPr>
                <w:rFonts w:ascii="Times New Roman" w:hAnsi="Times New Roman" w:cs="Times New Roman"/>
                <w:sz w:val="24"/>
                <w:szCs w:val="24"/>
              </w:rPr>
              <w:t>GDPR</w:t>
            </w:r>
          </w:p>
        </w:tc>
        <w:tc>
          <w:tcPr>
            <w:tcW w:w="4079" w:type="pct"/>
            <w:hideMark/>
          </w:tcPr>
          <w:p w14:paraId="5AA187D1" w14:textId="77777777" w:rsidR="009B6F28" w:rsidRPr="002E3ED0" w:rsidRDefault="009B6F28">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General Data Protection Regulation</w:t>
            </w:r>
          </w:p>
        </w:tc>
      </w:tr>
      <w:tr w:rsidR="009B6F28" w:rsidRPr="002E3ED0" w14:paraId="4CC897F8" w14:textId="77777777" w:rsidTr="009B6F28">
        <w:tc>
          <w:tcPr>
            <w:cnfStyle w:val="001000000000" w:firstRow="0" w:lastRow="0" w:firstColumn="1" w:lastColumn="0" w:oddVBand="0" w:evenVBand="0" w:oddHBand="0" w:evenHBand="0" w:firstRowFirstColumn="0" w:firstRowLastColumn="0" w:lastRowFirstColumn="0" w:lastRowLastColumn="0"/>
            <w:tcW w:w="921" w:type="pct"/>
            <w:hideMark/>
          </w:tcPr>
          <w:p w14:paraId="2FB61998" w14:textId="77777777" w:rsidR="009B6F28" w:rsidRPr="002E3ED0" w:rsidRDefault="009B6F28">
            <w:pPr>
              <w:spacing w:line="375" w:lineRule="atLeast"/>
              <w:rPr>
                <w:rFonts w:ascii="Times New Roman" w:hAnsi="Times New Roman" w:cs="Times New Roman"/>
                <w:sz w:val="24"/>
                <w:szCs w:val="24"/>
              </w:rPr>
            </w:pPr>
            <w:r w:rsidRPr="002E3ED0">
              <w:rPr>
                <w:rFonts w:ascii="Times New Roman" w:hAnsi="Times New Roman" w:cs="Times New Roman"/>
                <w:sz w:val="24"/>
                <w:szCs w:val="24"/>
              </w:rPr>
              <w:t>ISSM</w:t>
            </w:r>
          </w:p>
        </w:tc>
        <w:tc>
          <w:tcPr>
            <w:tcW w:w="4079" w:type="pct"/>
            <w:hideMark/>
          </w:tcPr>
          <w:p w14:paraId="7800ABB8" w14:textId="77777777" w:rsidR="009B6F28" w:rsidRPr="002E3ED0" w:rsidRDefault="009B6F28">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Information Systems Success Model</w:t>
            </w:r>
          </w:p>
        </w:tc>
      </w:tr>
      <w:tr w:rsidR="009B6F28" w:rsidRPr="002E3ED0" w14:paraId="639F7929" w14:textId="77777777" w:rsidTr="009B6F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1" w:type="pct"/>
            <w:hideMark/>
          </w:tcPr>
          <w:p w14:paraId="467AF51D" w14:textId="77777777" w:rsidR="009B6F28" w:rsidRPr="002E3ED0" w:rsidRDefault="009B6F28">
            <w:pPr>
              <w:spacing w:line="375" w:lineRule="atLeast"/>
              <w:rPr>
                <w:rFonts w:ascii="Times New Roman" w:hAnsi="Times New Roman" w:cs="Times New Roman"/>
                <w:sz w:val="24"/>
                <w:szCs w:val="24"/>
              </w:rPr>
            </w:pPr>
            <w:r w:rsidRPr="002E3ED0">
              <w:rPr>
                <w:rFonts w:ascii="Times New Roman" w:hAnsi="Times New Roman" w:cs="Times New Roman"/>
                <w:sz w:val="24"/>
                <w:szCs w:val="24"/>
              </w:rPr>
              <w:t>IT</w:t>
            </w:r>
          </w:p>
        </w:tc>
        <w:tc>
          <w:tcPr>
            <w:tcW w:w="4079" w:type="pct"/>
            <w:hideMark/>
          </w:tcPr>
          <w:p w14:paraId="761A2236" w14:textId="77777777" w:rsidR="009B6F28" w:rsidRPr="002E3ED0" w:rsidRDefault="009B6F28">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Information Technology</w:t>
            </w:r>
          </w:p>
        </w:tc>
      </w:tr>
      <w:tr w:rsidR="009B6F28" w:rsidRPr="002E3ED0" w14:paraId="32C9A277" w14:textId="77777777" w:rsidTr="009B6F28">
        <w:tc>
          <w:tcPr>
            <w:cnfStyle w:val="001000000000" w:firstRow="0" w:lastRow="0" w:firstColumn="1" w:lastColumn="0" w:oddVBand="0" w:evenVBand="0" w:oddHBand="0" w:evenHBand="0" w:firstRowFirstColumn="0" w:firstRowLastColumn="0" w:lastRowFirstColumn="0" w:lastRowLastColumn="0"/>
            <w:tcW w:w="921" w:type="pct"/>
            <w:hideMark/>
          </w:tcPr>
          <w:p w14:paraId="77F80A5C" w14:textId="77777777" w:rsidR="009B6F28" w:rsidRPr="002E3ED0" w:rsidRDefault="009B6F28">
            <w:pPr>
              <w:spacing w:line="375" w:lineRule="atLeast"/>
              <w:rPr>
                <w:rFonts w:ascii="Times New Roman" w:hAnsi="Times New Roman" w:cs="Times New Roman"/>
                <w:sz w:val="24"/>
                <w:szCs w:val="24"/>
              </w:rPr>
            </w:pPr>
            <w:r w:rsidRPr="002E3ED0">
              <w:rPr>
                <w:rFonts w:ascii="Times New Roman" w:hAnsi="Times New Roman" w:cs="Times New Roman"/>
                <w:sz w:val="24"/>
                <w:szCs w:val="24"/>
              </w:rPr>
              <w:t>PSD2</w:t>
            </w:r>
          </w:p>
        </w:tc>
        <w:tc>
          <w:tcPr>
            <w:tcW w:w="4079" w:type="pct"/>
            <w:hideMark/>
          </w:tcPr>
          <w:p w14:paraId="01B25DEB" w14:textId="77777777" w:rsidR="009B6F28" w:rsidRPr="002E3ED0" w:rsidRDefault="009B6F28">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Payment Services Directive 2</w:t>
            </w:r>
          </w:p>
        </w:tc>
      </w:tr>
      <w:tr w:rsidR="009B6F28" w:rsidRPr="002E3ED0" w14:paraId="56C41018" w14:textId="77777777" w:rsidTr="009B6F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1" w:type="pct"/>
            <w:hideMark/>
          </w:tcPr>
          <w:p w14:paraId="7C6A7B82" w14:textId="77777777" w:rsidR="009B6F28" w:rsidRPr="002E3ED0" w:rsidRDefault="009B6F28">
            <w:pPr>
              <w:spacing w:line="375" w:lineRule="atLeast"/>
              <w:rPr>
                <w:rFonts w:ascii="Times New Roman" w:hAnsi="Times New Roman" w:cs="Times New Roman"/>
                <w:sz w:val="24"/>
                <w:szCs w:val="24"/>
              </w:rPr>
            </w:pPr>
            <w:r w:rsidRPr="002E3ED0">
              <w:rPr>
                <w:rFonts w:ascii="Times New Roman" w:hAnsi="Times New Roman" w:cs="Times New Roman"/>
                <w:sz w:val="24"/>
                <w:szCs w:val="24"/>
              </w:rPr>
              <w:t>PSR</w:t>
            </w:r>
          </w:p>
        </w:tc>
        <w:tc>
          <w:tcPr>
            <w:tcW w:w="4079" w:type="pct"/>
            <w:hideMark/>
          </w:tcPr>
          <w:p w14:paraId="1C1117A0" w14:textId="77777777" w:rsidR="009B6F28" w:rsidRPr="002E3ED0" w:rsidRDefault="009B6F28">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Payment Systems Regulator</w:t>
            </w:r>
          </w:p>
        </w:tc>
      </w:tr>
      <w:tr w:rsidR="009B6F28" w:rsidRPr="002E3ED0" w14:paraId="47770AE2" w14:textId="77777777" w:rsidTr="009B6F28">
        <w:tc>
          <w:tcPr>
            <w:cnfStyle w:val="001000000000" w:firstRow="0" w:lastRow="0" w:firstColumn="1" w:lastColumn="0" w:oddVBand="0" w:evenVBand="0" w:oddHBand="0" w:evenHBand="0" w:firstRowFirstColumn="0" w:firstRowLastColumn="0" w:lastRowFirstColumn="0" w:lastRowLastColumn="0"/>
            <w:tcW w:w="921" w:type="pct"/>
            <w:hideMark/>
          </w:tcPr>
          <w:p w14:paraId="3AAA40AF" w14:textId="77777777" w:rsidR="009B6F28" w:rsidRPr="002E3ED0" w:rsidRDefault="009B6F28">
            <w:pPr>
              <w:spacing w:line="375" w:lineRule="atLeast"/>
              <w:rPr>
                <w:rFonts w:ascii="Times New Roman" w:hAnsi="Times New Roman" w:cs="Times New Roman"/>
                <w:sz w:val="24"/>
                <w:szCs w:val="24"/>
              </w:rPr>
            </w:pPr>
            <w:r w:rsidRPr="002E3ED0">
              <w:rPr>
                <w:rFonts w:ascii="Times New Roman" w:hAnsi="Times New Roman" w:cs="Times New Roman"/>
                <w:sz w:val="24"/>
                <w:szCs w:val="24"/>
              </w:rPr>
              <w:t>PRISMA</w:t>
            </w:r>
          </w:p>
        </w:tc>
        <w:tc>
          <w:tcPr>
            <w:tcW w:w="4079" w:type="pct"/>
            <w:hideMark/>
          </w:tcPr>
          <w:p w14:paraId="30805CDB" w14:textId="77777777" w:rsidR="009B6F28" w:rsidRPr="002E3ED0" w:rsidRDefault="009B6F28">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Preferred Reporting Items for Systematic Reviews and Meta-Analyses</w:t>
            </w:r>
          </w:p>
        </w:tc>
      </w:tr>
      <w:tr w:rsidR="009B6F28" w:rsidRPr="002E3ED0" w14:paraId="30120EBB" w14:textId="77777777" w:rsidTr="009B6F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1" w:type="pct"/>
            <w:hideMark/>
          </w:tcPr>
          <w:p w14:paraId="3CE96B53" w14:textId="77777777" w:rsidR="009B6F28" w:rsidRPr="002E3ED0" w:rsidRDefault="009B6F28">
            <w:pPr>
              <w:spacing w:line="375" w:lineRule="atLeast"/>
              <w:rPr>
                <w:rFonts w:ascii="Times New Roman" w:hAnsi="Times New Roman" w:cs="Times New Roman"/>
                <w:sz w:val="24"/>
                <w:szCs w:val="24"/>
              </w:rPr>
            </w:pPr>
            <w:r w:rsidRPr="002E3ED0">
              <w:rPr>
                <w:rFonts w:ascii="Times New Roman" w:hAnsi="Times New Roman" w:cs="Times New Roman"/>
                <w:sz w:val="24"/>
                <w:szCs w:val="24"/>
              </w:rPr>
              <w:t>SCA</w:t>
            </w:r>
          </w:p>
        </w:tc>
        <w:tc>
          <w:tcPr>
            <w:tcW w:w="4079" w:type="pct"/>
            <w:hideMark/>
          </w:tcPr>
          <w:p w14:paraId="61C72638" w14:textId="77777777" w:rsidR="009B6F28" w:rsidRPr="002E3ED0" w:rsidRDefault="009B6F28">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Strong Customer Authentication</w:t>
            </w:r>
          </w:p>
        </w:tc>
      </w:tr>
      <w:tr w:rsidR="009B6F28" w:rsidRPr="002E3ED0" w14:paraId="0EEBD76A" w14:textId="77777777" w:rsidTr="009B6F28">
        <w:tc>
          <w:tcPr>
            <w:cnfStyle w:val="001000000000" w:firstRow="0" w:lastRow="0" w:firstColumn="1" w:lastColumn="0" w:oddVBand="0" w:evenVBand="0" w:oddHBand="0" w:evenHBand="0" w:firstRowFirstColumn="0" w:firstRowLastColumn="0" w:lastRowFirstColumn="0" w:lastRowLastColumn="0"/>
            <w:tcW w:w="921" w:type="pct"/>
            <w:hideMark/>
          </w:tcPr>
          <w:p w14:paraId="3FCBF459" w14:textId="77777777" w:rsidR="009B6F28" w:rsidRPr="002E3ED0" w:rsidRDefault="009B6F28">
            <w:pPr>
              <w:spacing w:line="375" w:lineRule="atLeast"/>
              <w:rPr>
                <w:rFonts w:ascii="Times New Roman" w:hAnsi="Times New Roman" w:cs="Times New Roman"/>
                <w:sz w:val="24"/>
                <w:szCs w:val="24"/>
              </w:rPr>
            </w:pPr>
            <w:r w:rsidRPr="002E3ED0">
              <w:rPr>
                <w:rFonts w:ascii="Times New Roman" w:hAnsi="Times New Roman" w:cs="Times New Roman"/>
                <w:sz w:val="24"/>
                <w:szCs w:val="24"/>
              </w:rPr>
              <w:t>SEM</w:t>
            </w:r>
          </w:p>
        </w:tc>
        <w:tc>
          <w:tcPr>
            <w:tcW w:w="4079" w:type="pct"/>
            <w:hideMark/>
          </w:tcPr>
          <w:p w14:paraId="0E69E110" w14:textId="77777777" w:rsidR="009B6F28" w:rsidRPr="002E3ED0" w:rsidRDefault="009B6F28">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Structural Equation Modelling</w:t>
            </w:r>
          </w:p>
        </w:tc>
      </w:tr>
      <w:tr w:rsidR="009B6F28" w:rsidRPr="002E3ED0" w14:paraId="28A8EE17" w14:textId="77777777" w:rsidTr="009B6F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1" w:type="pct"/>
            <w:hideMark/>
          </w:tcPr>
          <w:p w14:paraId="08B3C49E" w14:textId="77777777" w:rsidR="009B6F28" w:rsidRPr="002E3ED0" w:rsidRDefault="009B6F28">
            <w:pPr>
              <w:spacing w:line="375" w:lineRule="atLeast"/>
              <w:rPr>
                <w:rFonts w:ascii="Times New Roman" w:hAnsi="Times New Roman" w:cs="Times New Roman"/>
                <w:sz w:val="24"/>
                <w:szCs w:val="24"/>
              </w:rPr>
            </w:pPr>
            <w:r w:rsidRPr="002E3ED0">
              <w:rPr>
                <w:rFonts w:ascii="Times New Roman" w:hAnsi="Times New Roman" w:cs="Times New Roman"/>
                <w:sz w:val="24"/>
                <w:szCs w:val="24"/>
              </w:rPr>
              <w:t>SLR</w:t>
            </w:r>
          </w:p>
        </w:tc>
        <w:tc>
          <w:tcPr>
            <w:tcW w:w="4079" w:type="pct"/>
            <w:hideMark/>
          </w:tcPr>
          <w:p w14:paraId="738AA355" w14:textId="77777777" w:rsidR="009B6F28" w:rsidRPr="002E3ED0" w:rsidRDefault="009B6F28">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Systematic Literature Review</w:t>
            </w:r>
          </w:p>
        </w:tc>
      </w:tr>
      <w:tr w:rsidR="009B6F28" w:rsidRPr="002E3ED0" w14:paraId="2FE6C1D5" w14:textId="77777777" w:rsidTr="009B6F28">
        <w:tc>
          <w:tcPr>
            <w:cnfStyle w:val="001000000000" w:firstRow="0" w:lastRow="0" w:firstColumn="1" w:lastColumn="0" w:oddVBand="0" w:evenVBand="0" w:oddHBand="0" w:evenHBand="0" w:firstRowFirstColumn="0" w:firstRowLastColumn="0" w:lastRowFirstColumn="0" w:lastRowLastColumn="0"/>
            <w:tcW w:w="921" w:type="pct"/>
            <w:hideMark/>
          </w:tcPr>
          <w:p w14:paraId="73C2A5B8" w14:textId="77777777" w:rsidR="009B6F28" w:rsidRPr="002E3ED0" w:rsidRDefault="009B6F28">
            <w:pPr>
              <w:spacing w:line="375" w:lineRule="atLeast"/>
              <w:rPr>
                <w:rFonts w:ascii="Times New Roman" w:hAnsi="Times New Roman" w:cs="Times New Roman"/>
                <w:sz w:val="24"/>
                <w:szCs w:val="24"/>
              </w:rPr>
            </w:pPr>
            <w:r w:rsidRPr="002E3ED0">
              <w:rPr>
                <w:rFonts w:ascii="Times New Roman" w:hAnsi="Times New Roman" w:cs="Times New Roman"/>
                <w:sz w:val="24"/>
                <w:szCs w:val="24"/>
              </w:rPr>
              <w:t>TAM</w:t>
            </w:r>
          </w:p>
        </w:tc>
        <w:tc>
          <w:tcPr>
            <w:tcW w:w="4079" w:type="pct"/>
            <w:hideMark/>
          </w:tcPr>
          <w:p w14:paraId="0D5C7AFC" w14:textId="77777777" w:rsidR="009B6F28" w:rsidRPr="002E3ED0" w:rsidRDefault="009B6F28">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Technology Acceptance Model</w:t>
            </w:r>
          </w:p>
        </w:tc>
      </w:tr>
      <w:tr w:rsidR="009B6F28" w:rsidRPr="002E3ED0" w14:paraId="4E0FC540" w14:textId="77777777" w:rsidTr="009B6F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1" w:type="pct"/>
            <w:hideMark/>
          </w:tcPr>
          <w:p w14:paraId="42A6C944" w14:textId="77777777" w:rsidR="009B6F28" w:rsidRPr="002E3ED0" w:rsidRDefault="009B6F28">
            <w:pPr>
              <w:spacing w:line="375" w:lineRule="atLeast"/>
              <w:rPr>
                <w:rFonts w:ascii="Times New Roman" w:hAnsi="Times New Roman" w:cs="Times New Roman"/>
                <w:sz w:val="24"/>
                <w:szCs w:val="24"/>
              </w:rPr>
            </w:pPr>
            <w:r w:rsidRPr="002E3ED0">
              <w:rPr>
                <w:rFonts w:ascii="Times New Roman" w:hAnsi="Times New Roman" w:cs="Times New Roman"/>
                <w:sz w:val="24"/>
                <w:szCs w:val="24"/>
              </w:rPr>
              <w:t>UK</w:t>
            </w:r>
          </w:p>
        </w:tc>
        <w:tc>
          <w:tcPr>
            <w:tcW w:w="4079" w:type="pct"/>
            <w:hideMark/>
          </w:tcPr>
          <w:p w14:paraId="13841B16" w14:textId="77777777" w:rsidR="009B6F28" w:rsidRPr="002E3ED0" w:rsidRDefault="009B6F28">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United Kingdom</w:t>
            </w:r>
          </w:p>
        </w:tc>
      </w:tr>
      <w:tr w:rsidR="009B6F28" w:rsidRPr="002E3ED0" w14:paraId="6D077B00" w14:textId="77777777" w:rsidTr="009B6F28">
        <w:tc>
          <w:tcPr>
            <w:cnfStyle w:val="001000000000" w:firstRow="0" w:lastRow="0" w:firstColumn="1" w:lastColumn="0" w:oddVBand="0" w:evenVBand="0" w:oddHBand="0" w:evenHBand="0" w:firstRowFirstColumn="0" w:firstRowLastColumn="0" w:lastRowFirstColumn="0" w:lastRowLastColumn="0"/>
            <w:tcW w:w="921" w:type="pct"/>
            <w:hideMark/>
          </w:tcPr>
          <w:p w14:paraId="4E0F132C" w14:textId="77777777" w:rsidR="009B6F28" w:rsidRPr="002E3ED0" w:rsidRDefault="009B6F28">
            <w:pPr>
              <w:spacing w:line="375" w:lineRule="atLeast"/>
              <w:rPr>
                <w:rFonts w:ascii="Times New Roman" w:hAnsi="Times New Roman" w:cs="Times New Roman"/>
                <w:sz w:val="24"/>
                <w:szCs w:val="24"/>
              </w:rPr>
            </w:pPr>
            <w:r w:rsidRPr="002E3ED0">
              <w:rPr>
                <w:rFonts w:ascii="Times New Roman" w:hAnsi="Times New Roman" w:cs="Times New Roman"/>
                <w:sz w:val="24"/>
                <w:szCs w:val="24"/>
              </w:rPr>
              <w:t>UTAUT</w:t>
            </w:r>
          </w:p>
        </w:tc>
        <w:tc>
          <w:tcPr>
            <w:tcW w:w="4079" w:type="pct"/>
            <w:hideMark/>
          </w:tcPr>
          <w:p w14:paraId="335F608B" w14:textId="77777777" w:rsidR="009B6F28" w:rsidRPr="002E3ED0" w:rsidRDefault="009B6F28">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Unified Theory of Acceptance and Use of Technology</w:t>
            </w:r>
          </w:p>
        </w:tc>
      </w:tr>
      <w:tr w:rsidR="009B6F28" w:rsidRPr="002E3ED0" w14:paraId="647F5EF7" w14:textId="77777777" w:rsidTr="009B6F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1" w:type="pct"/>
            <w:hideMark/>
          </w:tcPr>
          <w:p w14:paraId="5306AC47" w14:textId="77777777" w:rsidR="009B6F28" w:rsidRPr="002E3ED0" w:rsidRDefault="009B6F28">
            <w:pPr>
              <w:spacing w:line="375" w:lineRule="atLeast"/>
              <w:rPr>
                <w:rFonts w:ascii="Times New Roman" w:hAnsi="Times New Roman" w:cs="Times New Roman"/>
                <w:sz w:val="24"/>
                <w:szCs w:val="24"/>
              </w:rPr>
            </w:pPr>
            <w:r w:rsidRPr="002E3ED0">
              <w:rPr>
                <w:rFonts w:ascii="Times New Roman" w:hAnsi="Times New Roman" w:cs="Times New Roman"/>
                <w:sz w:val="24"/>
                <w:szCs w:val="24"/>
              </w:rPr>
              <w:t>UTAUT2</w:t>
            </w:r>
          </w:p>
        </w:tc>
        <w:tc>
          <w:tcPr>
            <w:tcW w:w="4079" w:type="pct"/>
            <w:hideMark/>
          </w:tcPr>
          <w:p w14:paraId="420C149B" w14:textId="77777777" w:rsidR="009B6F28" w:rsidRPr="002E3ED0" w:rsidRDefault="009B6F28">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Unified Theory of Acceptance and Use of Technology 2</w:t>
            </w:r>
          </w:p>
        </w:tc>
      </w:tr>
    </w:tbl>
    <w:p w14:paraId="5BA23C55" w14:textId="424B5247" w:rsidR="009B6F28" w:rsidRPr="002E3ED0" w:rsidRDefault="009B6F28" w:rsidP="00875014">
      <w:pPr>
        <w:spacing w:line="360" w:lineRule="auto"/>
        <w:rPr>
          <w:rFonts w:ascii="Times New Roman" w:hAnsi="Times New Roman" w:cs="Times New Roman"/>
          <w:sz w:val="24"/>
          <w:szCs w:val="24"/>
        </w:rPr>
      </w:pPr>
    </w:p>
    <w:p w14:paraId="6CF7636F" w14:textId="77777777" w:rsidR="009843C1" w:rsidRPr="002E3ED0" w:rsidRDefault="009843C1" w:rsidP="00875014">
      <w:pPr>
        <w:pStyle w:val="Heading1"/>
        <w:rPr>
          <w:color w:val="auto"/>
        </w:rPr>
      </w:pPr>
      <w:bookmarkStart w:id="0" w:name="_Toc238751460"/>
      <w:r w:rsidRPr="002E3ED0">
        <w:rPr>
          <w:color w:val="auto"/>
        </w:rPr>
        <w:t>CHAPTER ONE: INTRODUCTION</w:t>
      </w:r>
      <w:bookmarkEnd w:id="0"/>
    </w:p>
    <w:p w14:paraId="69AE8C56" w14:textId="77777777" w:rsidR="009843C1" w:rsidRPr="002E3ED0" w:rsidRDefault="009843C1" w:rsidP="00875014">
      <w:pPr>
        <w:pStyle w:val="Heading2"/>
        <w:rPr>
          <w:color w:val="auto"/>
        </w:rPr>
      </w:pPr>
      <w:bookmarkStart w:id="1" w:name="_Toc238751461"/>
      <w:r w:rsidRPr="002E3ED0">
        <w:rPr>
          <w:color w:val="auto"/>
        </w:rPr>
        <w:t>Research Background</w:t>
      </w:r>
      <w:bookmarkEnd w:id="1"/>
    </w:p>
    <w:p w14:paraId="684AB88D" w14:textId="77777777" w:rsidR="009843C1" w:rsidRPr="002E3ED0" w:rsidRDefault="009843C1" w:rsidP="00875014">
      <w:pPr>
        <w:pStyle w:val="ds-markdown-paragraph"/>
        <w:widowControl w:val="0"/>
        <w:shd w:val="clear" w:color="auto" w:fill="FFFFFF"/>
        <w:spacing w:before="0" w:beforeAutospacing="0" w:after="0" w:afterAutospacing="0" w:line="360" w:lineRule="auto"/>
        <w:ind w:firstLine="810"/>
        <w:jc w:val="both"/>
      </w:pPr>
      <w:r w:rsidRPr="002E3ED0">
        <w:t>In recent years, the British banking sector has moved heavily towards digital, changing the way consumers engage with the financial industry and raising important issues of trust and security perception. The proportion of UK customers who are using digital banking methods has increased from 33% in 2020 to 59% in 2024, while the number of traditional bank branches has fallen from 10,410 to 6,870 (BQ, 2025). This transformation has been fueled by the emergence of ‘app-only challenger banks' and the UK's new Open Banking framework, which allows third parties to access customer data via APIs (Wilson and Tam, 2026).</w:t>
      </w:r>
    </w:p>
    <w:p w14:paraId="1596D5FD" w14:textId="77777777" w:rsidR="009843C1" w:rsidRPr="002E3ED0" w:rsidRDefault="00491F46" w:rsidP="00875014">
      <w:pPr>
        <w:pStyle w:val="ds-markdown-paragraph"/>
        <w:widowControl w:val="0"/>
        <w:shd w:val="clear" w:color="auto" w:fill="FFFFFF"/>
        <w:spacing w:before="0" w:beforeAutospacing="0" w:after="0" w:afterAutospacing="0" w:line="360" w:lineRule="auto"/>
        <w:ind w:firstLine="810"/>
        <w:jc w:val="both"/>
      </w:pPr>
      <w:r w:rsidRPr="002E3ED0">
        <w:t>However, this quick digitalisation has created a tricky trust problem. As consumers value digital convenience more, their worries about safety, reliability, and bank strength have also grown. According to FICO research done in 2025, 35% of UK customers said fraud protection was their top worry in a new bank, topping the list of concerns (Nasdaq, 2025). Fraud risk has grown to account for the growing threat of fraud: According to UK Finance, banking fraud alone cost more than £629 million in the first half of 2025—more than two million incidents have been reported, a 17% increase from the previous half-year (UK Finance, 2025).</w:t>
      </w:r>
    </w:p>
    <w:p w14:paraId="569BF971" w14:textId="77777777" w:rsidR="00491F46" w:rsidRPr="002E3ED0" w:rsidRDefault="009843C1" w:rsidP="00491F46">
      <w:pPr>
        <w:pStyle w:val="ds-markdown-paragraph"/>
        <w:widowControl w:val="0"/>
        <w:shd w:val="clear" w:color="auto" w:fill="FFFFFF"/>
        <w:spacing w:before="0" w:beforeAutospacing="0" w:after="0" w:afterAutospacing="0" w:line="360" w:lineRule="auto"/>
        <w:ind w:firstLine="810"/>
        <w:jc w:val="both"/>
      </w:pPr>
      <w:r w:rsidRPr="002E3ED0">
        <w:t>There's one more thing that's become a worry about day-to-day running– operational resilience. A GFT Banking Disruption Index revealed that 34% of Britons worry about IT systems breaking down at their banks and 17% have experienced IT failures that disrupted them for an average of six hours (Thompsett, 2024). Worryingly, 25% of consumers have physical cash reserves for the purpose of protecting their banking system against failure, and 42% believe they could be at risk of their personal data being lost to an online attack if bank systems crash (Thompsett, 2024). It's a physical symptom of the loss of trust in the digital infrastructure that is becoming more common in a more digital economy.</w:t>
      </w:r>
    </w:p>
    <w:p w14:paraId="38BD362C" w14:textId="77777777" w:rsidR="001068C4" w:rsidRPr="002E3ED0" w:rsidRDefault="00000000" w:rsidP="00491F46">
      <w:pPr>
        <w:pStyle w:val="ds-markdown-paragraph"/>
        <w:widowControl w:val="0"/>
        <w:shd w:val="clear" w:color="auto" w:fill="FFFFFF"/>
        <w:spacing w:before="0" w:beforeAutospacing="0" w:after="0" w:afterAutospacing="0" w:line="360" w:lineRule="auto"/>
        <w:ind w:firstLine="810"/>
        <w:jc w:val="both"/>
      </w:pPr>
      <w:r w:rsidRPr="002E3ED0">
        <w:t xml:space="preserve">This erosion of confidence in system reliability is not merely a survey artefact. In January 2025, Barclays’ UK online and mobile banking services were disrupted for three consecutive days after a “severe degradation” of its core mainframe, causing 56% of the bank’s digital payments to fail on a day that coincided with both monthly payday and the HMRC self-assessment deadline (Computer Weekly, 2025; MoneyWeek, 2025). The UK Parliament’s Treasury Select Committee subsequently established that the nine largest UK banks and building societies had recorded at </w:t>
      </w:r>
      <w:r w:rsidRPr="002E3ED0">
        <w:lastRenderedPageBreak/>
        <w:t>least 158 separate IT failures between January 2023 and February 2025, amounting to over 803 hours of combined service unavailability, and ordered Barclays alone to pay approximately £12.5 million in customer compensation (MoneyWeek, 2025). Incidents of this kind translate the abstract survey findings reported above into lived consumer experience, and this dissertation returns to this example in Chapters Two and Four to illustrate how the coded evidence relates to a concrete, UK-specific case.</w:t>
      </w:r>
    </w:p>
    <w:p w14:paraId="4DD412D2" w14:textId="12C7898E" w:rsidR="009843C1" w:rsidRPr="002E3ED0" w:rsidRDefault="009843C1" w:rsidP="00875014">
      <w:pPr>
        <w:pStyle w:val="ds-markdown-paragraph"/>
        <w:widowControl w:val="0"/>
        <w:shd w:val="clear" w:color="auto" w:fill="FFFFFF"/>
        <w:spacing w:before="0" w:beforeAutospacing="0" w:after="0" w:afterAutospacing="0" w:line="360" w:lineRule="auto"/>
        <w:ind w:firstLine="810"/>
        <w:jc w:val="both"/>
      </w:pPr>
      <w:r w:rsidRPr="002E3ED0">
        <w:t>In recent years, academic research has started to build theories about these issues in a more comprehensive way. A systematic review of Open Banking security research (incorporating 117 studies published between 1999 and 2025) found that technical security was the main topic in academic research (58%), although regulatory security issues and behavioural factors, including trust and decision-making, were also gaining traction (Wilson and Tam, 2026). Most significantly, only 17.9% of studies incorporate all three aspects of security perception in one, showing a lack of understanding of the interconnections among the three aspects of security perception (Wilson and Tam, 2026).</w:t>
      </w:r>
    </w:p>
    <w:p w14:paraId="5BE2DE26" w14:textId="77777777" w:rsidR="00C060AF" w:rsidRPr="002E3ED0" w:rsidRDefault="009843C1" w:rsidP="00875014">
      <w:pPr>
        <w:pStyle w:val="ds-markdown-paragraph"/>
        <w:widowControl w:val="0"/>
        <w:shd w:val="clear" w:color="auto" w:fill="FFFFFF"/>
        <w:spacing w:before="0" w:beforeAutospacing="0" w:after="0" w:afterAutospacing="0" w:line="360" w:lineRule="auto"/>
        <w:ind w:firstLine="810"/>
        <w:jc w:val="both"/>
      </w:pPr>
      <w:r w:rsidRPr="002E3ED0">
        <w:t>Regulatory reactions have been shaped as such. The Payment Systems Regulator has introduced a new rule which requires banks to meet the five-day deadline for returns to fraud victims, up to a limit of £85,000, while the Financial Conduct Authority has tightened its oversight of IT resilience (Meierhans, 2024). The Digital Operational Resilience Act (DORA) 2025 will also require extensive IT risk management systems. This is a societal, technical, and behavioural issue that needs to be addressed in tandem when it comes to customer security perception in digital banking.</w:t>
      </w:r>
    </w:p>
    <w:p w14:paraId="29714C2C" w14:textId="77777777" w:rsidR="009843C1" w:rsidRPr="002E3ED0" w:rsidRDefault="009843C1" w:rsidP="00875014">
      <w:pPr>
        <w:pStyle w:val="Heading2"/>
        <w:rPr>
          <w:color w:val="auto"/>
        </w:rPr>
      </w:pPr>
      <w:bookmarkStart w:id="2" w:name="_Toc238751462"/>
      <w:r w:rsidRPr="002E3ED0">
        <w:rPr>
          <w:color w:val="auto"/>
        </w:rPr>
        <w:t>Research Problem Statement</w:t>
      </w:r>
      <w:bookmarkEnd w:id="2"/>
    </w:p>
    <w:p w14:paraId="7A83EAD4" w14:textId="77777777" w:rsidR="009843C1" w:rsidRPr="002E3ED0" w:rsidRDefault="009843C1" w:rsidP="00875014">
      <w:pPr>
        <w:widowControl w:val="0"/>
        <w:spacing w:line="360" w:lineRule="auto"/>
        <w:ind w:firstLine="720"/>
        <w:jc w:val="both"/>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 xml:space="preserve">There is a critical fragmentation in the current body of literature concerning trust and security perception in digital banking in the UK, which hampers evidence-based, comprehensive approaches to the development of secure digital banking ecosystems. As the number of banking frauds continues to increase, with over £629 million stolen in the first half of this year alone (UK Finance, 2025), and consumer awareness of the threats to banking has risen, with 70% saying fraud protection was one of their top three banking considerations (Nasdaq, 2025), academic discussions remain fragmented between technology, regulation and behaviour. Wilson and Tam (2026) conducted a systematic review of 117 Open Banking security studies which found that less than half of studies (42%) were devoted to examining the behavioural dimension, less than half of </w:t>
      </w:r>
      <w:r w:rsidRPr="002E3ED0">
        <w:rPr>
          <w:rFonts w:ascii="Times New Roman" w:eastAsia="Times New Roman" w:hAnsi="Times New Roman" w:cs="Times New Roman"/>
          <w:sz w:val="24"/>
          <w:szCs w:val="24"/>
        </w:rPr>
        <w:lastRenderedPageBreak/>
        <w:t xml:space="preserve">studies (44%) were devoted to examining the regulatory dimension, and only 17.9% were devoted to examining all three dimensions at once, with technical dimension being the dominant dimension of research (58%). </w:t>
      </w:r>
    </w:p>
    <w:p w14:paraId="31D4C5B8" w14:textId="0BF4CD1A" w:rsidR="009843C1" w:rsidRPr="002E3ED0" w:rsidRDefault="009843C1" w:rsidP="00875014">
      <w:pPr>
        <w:widowControl w:val="0"/>
        <w:spacing w:line="360" w:lineRule="auto"/>
        <w:ind w:firstLine="720"/>
        <w:jc w:val="both"/>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Further, while 34% of Brits are concerned about IT failures and 25% keep cash at home as a backup for IT system failures (Thompsett, 2024), few studies have examined the interplay between operational resilience concerns and fraud concerns and what impact this has on a broader security perception. Some regulatory measures have changed: the Payment Systems Regulator's new fraud refund rules and the Digital Operational Resilience Act (DORA), which will start to apply in 2025 (Meierhans, 2024), but there is still a lack of understanding about how they are affecting customer trust. Therefore, there is an urgent need for a systematic literature review (SLR) that can provide a synthesis of the current evidence and create an integrated framework to ensure that the literature considers the interconnectedness of trust in UK digital banking.</w:t>
      </w:r>
    </w:p>
    <w:p w14:paraId="4AB203AD" w14:textId="77777777" w:rsidR="009843C1" w:rsidRPr="002E3ED0" w:rsidRDefault="009843C1" w:rsidP="00875014">
      <w:pPr>
        <w:pStyle w:val="Heading2"/>
        <w:rPr>
          <w:color w:val="auto"/>
        </w:rPr>
      </w:pPr>
      <w:bookmarkStart w:id="3" w:name="_Toc238751463"/>
      <w:r w:rsidRPr="002E3ED0">
        <w:rPr>
          <w:color w:val="auto"/>
        </w:rPr>
        <w:t>Research Aim</w:t>
      </w:r>
      <w:bookmarkEnd w:id="3"/>
    </w:p>
    <w:p w14:paraId="2A43E9E7" w14:textId="77777777" w:rsidR="00B4761F" w:rsidRPr="002E3ED0" w:rsidRDefault="00B4761F" w:rsidP="00B4761F">
      <w:pPr>
        <w:spacing w:line="360" w:lineRule="auto"/>
        <w:ind w:firstLine="720"/>
        <w:jc w:val="both"/>
        <w:rPr>
          <w:rFonts w:ascii="Times New Roman" w:hAnsi="Times New Roman" w:cs="Times New Roman"/>
        </w:rPr>
      </w:pPr>
      <w:r w:rsidRPr="002E3ED0">
        <w:rPr>
          <w:rFonts w:ascii="Times New Roman" w:hAnsi="Times New Roman" w:cs="Times New Roman"/>
          <w:sz w:val="24"/>
          <w:szCs w:val="24"/>
        </w:rPr>
        <w:t>To critically analyse existing academic and industry literature and develop an integrated framework explaining how technological, behavioural and regulatory factors influence customer trust and security perception in UK digital banking.</w:t>
      </w:r>
    </w:p>
    <w:p w14:paraId="0A710588" w14:textId="77777777" w:rsidR="009843C1" w:rsidRPr="002E3ED0" w:rsidRDefault="009843C1" w:rsidP="00875014">
      <w:pPr>
        <w:pStyle w:val="Heading2"/>
        <w:rPr>
          <w:color w:val="auto"/>
        </w:rPr>
      </w:pPr>
      <w:bookmarkStart w:id="4" w:name="_Toc238751464"/>
      <w:r w:rsidRPr="002E3ED0">
        <w:rPr>
          <w:color w:val="auto"/>
        </w:rPr>
        <w:t>Research Objectives</w:t>
      </w:r>
      <w:bookmarkEnd w:id="4"/>
    </w:p>
    <w:p w14:paraId="2CEDF83E" w14:textId="77777777" w:rsidR="009843C1" w:rsidRPr="002E3ED0" w:rsidRDefault="00794C8F" w:rsidP="00875014">
      <w:pPr>
        <w:pStyle w:val="ds-markdown-paragraph"/>
        <w:widowControl w:val="0"/>
        <w:numPr>
          <w:ilvl w:val="0"/>
          <w:numId w:val="2"/>
        </w:numPr>
        <w:shd w:val="clear" w:color="auto" w:fill="FFFFFF"/>
        <w:spacing w:before="0" w:beforeAutospacing="0" w:after="0" w:afterAutospacing="0" w:line="360" w:lineRule="auto"/>
        <w:jc w:val="both"/>
      </w:pPr>
      <w:r w:rsidRPr="002E3ED0">
        <w:t>To identify how technological factors influence customer trust and security perception in UK digital banking, as reported in existing academic and industry literature.</w:t>
      </w:r>
    </w:p>
    <w:p w14:paraId="40592117" w14:textId="77777777" w:rsidR="007843BB" w:rsidRPr="002E3ED0" w:rsidRDefault="009843C1" w:rsidP="00875014">
      <w:pPr>
        <w:pStyle w:val="ds-markdown-paragraph"/>
        <w:widowControl w:val="0"/>
        <w:numPr>
          <w:ilvl w:val="0"/>
          <w:numId w:val="2"/>
        </w:numPr>
        <w:shd w:val="clear" w:color="auto" w:fill="FFFFFF"/>
        <w:spacing w:before="0" w:beforeAutospacing="0" w:after="0" w:afterAutospacing="0" w:line="360" w:lineRule="auto"/>
        <w:jc w:val="both"/>
      </w:pPr>
      <w:r w:rsidRPr="002E3ED0">
        <w:t>To critically analyse how behavioural factors impact overall trust and whether this varies across different customer demographics.</w:t>
      </w:r>
    </w:p>
    <w:p w14:paraId="36573C88" w14:textId="77777777" w:rsidR="009843C1" w:rsidRPr="002E3ED0" w:rsidRDefault="007843BB" w:rsidP="00875014">
      <w:pPr>
        <w:pStyle w:val="ds-markdown-paragraph"/>
        <w:widowControl w:val="0"/>
        <w:numPr>
          <w:ilvl w:val="0"/>
          <w:numId w:val="2"/>
        </w:numPr>
        <w:shd w:val="clear" w:color="auto" w:fill="FFFFFF"/>
        <w:spacing w:before="0" w:beforeAutospacing="0" w:after="0" w:afterAutospacing="0" w:line="360" w:lineRule="auto"/>
        <w:jc w:val="both"/>
      </w:pPr>
      <w:r w:rsidRPr="002E3ED0">
        <w:rPr>
          <w:rStyle w:val="Strong"/>
          <w:b w:val="0"/>
          <w:bCs w:val="0"/>
        </w:rPr>
        <w:t>To</w:t>
      </w:r>
      <w:r w:rsidRPr="002E3ED0">
        <w:t xml:space="preserve"> critically examine</w:t>
      </w:r>
      <w:r w:rsidRPr="002E3ED0">
        <w:rPr>
          <w:rStyle w:val="Strong"/>
          <w:b w:val="0"/>
          <w:bCs w:val="0"/>
        </w:rPr>
        <w:t xml:space="preserve"> research gaps and propose a future research agenda for strengthening trust in UK digital banking.</w:t>
      </w:r>
    </w:p>
    <w:p w14:paraId="4BBA0AB1" w14:textId="77777777" w:rsidR="009843C1" w:rsidRPr="002E3ED0" w:rsidRDefault="009843C1" w:rsidP="00875014">
      <w:pPr>
        <w:pStyle w:val="Heading2"/>
        <w:rPr>
          <w:color w:val="auto"/>
        </w:rPr>
      </w:pPr>
      <w:bookmarkStart w:id="5" w:name="_Toc238751465"/>
      <w:r w:rsidRPr="002E3ED0">
        <w:rPr>
          <w:color w:val="auto"/>
        </w:rPr>
        <w:t>Research Questions</w:t>
      </w:r>
      <w:bookmarkEnd w:id="5"/>
    </w:p>
    <w:p w14:paraId="3B39079C" w14:textId="77777777" w:rsidR="009843C1" w:rsidRPr="002E3ED0" w:rsidRDefault="00794C8F" w:rsidP="00875014">
      <w:pPr>
        <w:pStyle w:val="ds-markdown-paragraph"/>
        <w:widowControl w:val="0"/>
        <w:numPr>
          <w:ilvl w:val="0"/>
          <w:numId w:val="3"/>
        </w:numPr>
        <w:shd w:val="clear" w:color="auto" w:fill="FFFFFF"/>
        <w:spacing w:before="0" w:beforeAutospacing="0" w:after="0" w:afterAutospacing="0" w:line="360" w:lineRule="auto"/>
        <w:jc w:val="both"/>
      </w:pPr>
      <w:r w:rsidRPr="002E3ED0">
        <w:t>What are the key factors that influence customer trust and security perception in UK digital banking, and how have these factors been categorised in existing literature?</w:t>
      </w:r>
    </w:p>
    <w:p w14:paraId="15E5C750" w14:textId="77777777" w:rsidR="007843BB" w:rsidRPr="002E3ED0" w:rsidRDefault="00794C8F" w:rsidP="00875014">
      <w:pPr>
        <w:pStyle w:val="ds-markdown-paragraph"/>
        <w:widowControl w:val="0"/>
        <w:numPr>
          <w:ilvl w:val="0"/>
          <w:numId w:val="3"/>
        </w:numPr>
        <w:shd w:val="clear" w:color="auto" w:fill="FFFFFF"/>
        <w:spacing w:before="0" w:beforeAutospacing="0" w:after="0" w:afterAutospacing="0" w:line="360" w:lineRule="auto"/>
        <w:jc w:val="both"/>
      </w:pPr>
      <w:r w:rsidRPr="002E3ED0">
        <w:t>How does customers' perception of security affect their overall trust in digital banking, and to what extent does this relationship differ across demographic groups such as age, digital literacy, and income level?</w:t>
      </w:r>
    </w:p>
    <w:p w14:paraId="2B1C0129" w14:textId="77777777" w:rsidR="009843C1" w:rsidRPr="002E3ED0" w:rsidRDefault="00794C8F" w:rsidP="00875014">
      <w:pPr>
        <w:pStyle w:val="ds-markdown-paragraph"/>
        <w:widowControl w:val="0"/>
        <w:numPr>
          <w:ilvl w:val="0"/>
          <w:numId w:val="3"/>
        </w:numPr>
        <w:shd w:val="clear" w:color="auto" w:fill="FFFFFF"/>
        <w:spacing w:before="0" w:beforeAutospacing="0" w:after="0" w:afterAutospacing="0" w:line="360" w:lineRule="auto"/>
        <w:jc w:val="both"/>
      </w:pPr>
      <w:r w:rsidRPr="002E3ED0">
        <w:rPr>
          <w:rStyle w:val="Strong"/>
          <w:b w:val="0"/>
          <w:bCs w:val="0"/>
        </w:rPr>
        <w:t xml:space="preserve">What are the main research gaps and methodological limitations in the current literature on trust and security perception in UK digital banking, and what future research directions can </w:t>
      </w:r>
      <w:r w:rsidRPr="002E3ED0">
        <w:rPr>
          <w:rStyle w:val="Strong"/>
          <w:b w:val="0"/>
          <w:bCs w:val="0"/>
        </w:rPr>
        <w:lastRenderedPageBreak/>
        <w:t>be proposed to address these gaps?</w:t>
      </w:r>
    </w:p>
    <w:p w14:paraId="6C65451A" w14:textId="77777777" w:rsidR="009843C1" w:rsidRPr="002E3ED0" w:rsidRDefault="009843C1" w:rsidP="00875014">
      <w:pPr>
        <w:pStyle w:val="Heading2"/>
        <w:rPr>
          <w:color w:val="auto"/>
        </w:rPr>
      </w:pPr>
      <w:bookmarkStart w:id="6" w:name="_Toc238751466"/>
      <w:r w:rsidRPr="002E3ED0">
        <w:rPr>
          <w:color w:val="auto"/>
        </w:rPr>
        <w:t>Research Significance or Relevance of the Study</w:t>
      </w:r>
      <w:bookmarkEnd w:id="6"/>
    </w:p>
    <w:p w14:paraId="0418F407" w14:textId="77777777" w:rsidR="009843C1" w:rsidRPr="002E3ED0" w:rsidRDefault="009843C1" w:rsidP="00875014">
      <w:pPr>
        <w:pStyle w:val="ds-markdown-paragraph"/>
        <w:widowControl w:val="0"/>
        <w:shd w:val="clear" w:color="auto" w:fill="FFFFFF"/>
        <w:spacing w:before="0" w:beforeAutospacing="0" w:after="0" w:afterAutospacing="0" w:line="360" w:lineRule="auto"/>
        <w:ind w:firstLine="720"/>
        <w:jc w:val="both"/>
      </w:pPr>
      <w:r w:rsidRPr="002E3ED0">
        <w:t>The systematic literature review has theoretical, practical, and policy implications for various stakeholders in the digital banking landscape in the UK. From a theoretical perspective, this review responds to the need for a systematic analysis of the 117 security studies on Open Banking to identify that only 17.9% of the literature considers technological, regulatory, and behavioural aspects of security perception (Wilson and Tam, 2026). This study builds on this multi-faceted analysis and presents it in a holistic conceptual framework, which can be a basis for future empirical studies on trust in digital financial services.</w:t>
      </w:r>
    </w:p>
    <w:p w14:paraId="4C567481" w14:textId="77777777" w:rsidR="008C769D" w:rsidRPr="002E3ED0" w:rsidRDefault="008C769D" w:rsidP="00875014">
      <w:pPr>
        <w:pStyle w:val="ds-markdown-paragraph"/>
        <w:widowControl w:val="0"/>
        <w:shd w:val="clear" w:color="auto" w:fill="FFFFFF"/>
        <w:spacing w:before="0" w:beforeAutospacing="0" w:after="0" w:afterAutospacing="0" w:line="360" w:lineRule="auto"/>
        <w:ind w:firstLine="720"/>
        <w:jc w:val="both"/>
      </w:pPr>
      <w:r w:rsidRPr="002E3ED0">
        <w:t>In a practical sense, the findings will prove extremely useful for UK banking institutions looking for ways to boost customer confidence in the face of rising fraud risks, as UK Finance (2025) has just revealed that more than £629 million was stolen in the first half of 2025 alone through banking fraud. 70% of consumers consider fraud protection as one of their top three banking concerns – banks need to be grounded in facts and ensure their security measures are tailored to their customers' needs, meeting their increasing expectations of protection as well as their trust levels. (Nasdaq, 2025) Furthermore, with 34% of Britons saying that they are concerned about IT failures, and 25% having physical cash reserves as a backup if IT systems fail (Thompsett, 2024), it's crucial to be aware of the relationship between operational resilience and security perception in shaping sustainable digital banking relationships.</w:t>
      </w:r>
    </w:p>
    <w:p w14:paraId="2BC0490A" w14:textId="77777777" w:rsidR="009843C1" w:rsidRPr="002E3ED0" w:rsidRDefault="008C769D" w:rsidP="00875014">
      <w:pPr>
        <w:pStyle w:val="ds-markdown-paragraph"/>
        <w:widowControl w:val="0"/>
        <w:shd w:val="clear" w:color="auto" w:fill="FFFFFF"/>
        <w:spacing w:before="0" w:beforeAutospacing="0" w:after="0" w:afterAutospacing="0" w:line="360" w:lineRule="auto"/>
        <w:ind w:firstLine="720"/>
        <w:jc w:val="both"/>
      </w:pPr>
      <w:r w:rsidRPr="002E3ED0">
        <w:t>This review is timely from a policy perspective as there are recent developments in regulation, such as the Payment Systems Regulator's fraud refund requirements and the Digital Operational Resilience Act (DORA) in effect from 2025 (Meierhans, 2024). These findings will combine evidence of the impact regulatory interventions have on customer trust perceptions and guide policymakers in balancing innovation, competition and consumer protection in the future digital banking environment, while creating proportionate and effective regulatory frameworks.</w:t>
      </w:r>
    </w:p>
    <w:p w14:paraId="0ABEC5C0" w14:textId="77777777" w:rsidR="009843C1" w:rsidRPr="002E3ED0" w:rsidRDefault="009843C1" w:rsidP="00875014">
      <w:pPr>
        <w:pStyle w:val="Heading2"/>
        <w:rPr>
          <w:color w:val="auto"/>
        </w:rPr>
      </w:pPr>
      <w:bookmarkStart w:id="7" w:name="_Toc238751467"/>
      <w:r w:rsidRPr="002E3ED0">
        <w:rPr>
          <w:color w:val="auto"/>
        </w:rPr>
        <w:t>Research Methodology Summary</w:t>
      </w:r>
      <w:bookmarkEnd w:id="7"/>
    </w:p>
    <w:p w14:paraId="53B5044E" w14:textId="77777777" w:rsidR="008C769D" w:rsidRPr="002E3ED0" w:rsidRDefault="008C769D" w:rsidP="00875014">
      <w:pPr>
        <w:pStyle w:val="ds-markdown-paragraph"/>
        <w:widowControl w:val="0"/>
        <w:shd w:val="clear" w:color="auto" w:fill="FFFFFF"/>
        <w:spacing w:before="0" w:beforeAutospacing="0" w:after="0" w:afterAutospacing="0" w:line="360" w:lineRule="auto"/>
        <w:ind w:firstLine="720"/>
        <w:jc w:val="both"/>
      </w:pPr>
      <w:r w:rsidRPr="002E3ED0">
        <w:t xml:space="preserve">The systematic literature review is a qualitative, interpretivist research philosophy, which takes the view that customer trust and security perception are 'social constructions' and are mediated by one's experiences, context and interpretations (Tamminen and Poucher, 2020; Bryman, 2016). The research follows a deductive thematic analysis, where the working hypothesis is formulated based on the existing theoretical literature, and a systematic procedure of identifying, </w:t>
      </w:r>
      <w:r w:rsidRPr="002E3ED0">
        <w:lastRenderedPageBreak/>
        <w:t>selecting and synthesising existing literature is followed (Casula et al., 2021; Fife and Gossner, 2024). This research follows the research onion approach of Saunders, Lewis and Thornhill (2019) and considers the cross-sectional time horizon from 2020 to 2026 to ensure more contemporary research is included to consider the evolution of digital banking trust and perception of security.</w:t>
      </w:r>
    </w:p>
    <w:p w14:paraId="62730EF5" w14:textId="77777777" w:rsidR="009843C1" w:rsidRPr="002E3ED0" w:rsidRDefault="008C769D" w:rsidP="00875014">
      <w:pPr>
        <w:pStyle w:val="ds-markdown-paragraph"/>
        <w:widowControl w:val="0"/>
        <w:shd w:val="clear" w:color="auto" w:fill="FFFFFF"/>
        <w:spacing w:before="0" w:beforeAutospacing="0" w:after="0" w:afterAutospacing="0" w:line="360" w:lineRule="auto"/>
        <w:ind w:firstLine="720"/>
        <w:jc w:val="both"/>
      </w:pPr>
      <w:r w:rsidRPr="002E3ED0">
        <w:t>The data collection method involved a systematic search of academic databases like Scopus, Web of Science, and Google Scholar, as well as grey literature from UK Finance, FICO, and regulatory bodies, using purposive sampling with studies that met the pre-determined inclusion criteria (Etikan, Musa, Alkassim and Sunusi, 2016; Obilor, 2023). Thematic analysis will be used to synthesise results, uncover patterns, and build an integrated conceptual framework dealing with the interrelated technological, regulatory, and behavioural aspects of security perception (Bryman and Bell, 2015; Creswell and Creswell, 2018). Ethical considerations encompass correct citation of sources, preventing plagiarism, and transparency regarding the review process (Aluwihare-Samaranayake, 2012; Siegle, 2023).</w:t>
      </w:r>
    </w:p>
    <w:p w14:paraId="7311B90C" w14:textId="77777777" w:rsidR="009843C1" w:rsidRPr="002E3ED0" w:rsidRDefault="009843C1" w:rsidP="00875014">
      <w:pPr>
        <w:pStyle w:val="Heading2"/>
        <w:rPr>
          <w:color w:val="auto"/>
        </w:rPr>
      </w:pPr>
      <w:bookmarkStart w:id="8" w:name="_Toc238751468"/>
      <w:r w:rsidRPr="002E3ED0">
        <w:rPr>
          <w:color w:val="auto"/>
        </w:rPr>
        <w:t>Research Outline</w:t>
      </w:r>
      <w:bookmarkEnd w:id="8"/>
    </w:p>
    <w:p w14:paraId="09F4FEB8" w14:textId="77777777" w:rsidR="009843C1" w:rsidRPr="002E3ED0" w:rsidRDefault="008C769D" w:rsidP="00875014">
      <w:pPr>
        <w:pStyle w:val="ds-markdown-paragraph"/>
        <w:widowControl w:val="0"/>
        <w:shd w:val="clear" w:color="auto" w:fill="FFFFFF"/>
        <w:spacing w:before="0" w:beforeAutospacing="0" w:after="0" w:afterAutospacing="0" w:line="360" w:lineRule="auto"/>
        <w:ind w:firstLine="720"/>
        <w:jc w:val="both"/>
      </w:pPr>
      <w:r w:rsidRPr="002E3ED0">
        <w:t>The systematic literature review is organised in five interrelated chapters. Chapter One: Introduction provides the research context, background of digital banking transformation in the UK, rising fraud worries, and the research problem, aim, objectives, questions, and significance. The second chapter, Literature Review, critically reviews the existing theoretical and empirical literature from a technological, regulatory, and behavioural perspective of the perception of security, revealing gaps in integrated understanding (Wilson and Tam, 2026). Chapter Three: Research Methodology presents the interpretivist philosophy, deductive exploratory approach, systematic review protocol, search strategies and thematic analysis procedures followed using the research onion by Saunders, Lewis and Thornhill (2019).</w:t>
      </w:r>
      <w:r w:rsidRPr="002E3ED0">
        <w:rPr>
          <w:b/>
          <w:bCs/>
        </w:rPr>
        <w:t xml:space="preserve"> </w:t>
      </w:r>
      <w:r w:rsidRPr="002E3ED0">
        <w:t>Chapter Four: Findings, Analysis and Discussion codes and thematically synthesises a second, independently screened sample of studies and discusses the results against the literature reviewed in Chapter Two. Chapter Five: Conclusion and Recommendations draws the findings together against each research objective, and sets out recommendations, limitations and future research directions</w:t>
      </w:r>
      <w:r w:rsidRPr="002E3ED0">
        <w:rPr>
          <w:b/>
          <w:bCs/>
        </w:rPr>
        <w:t>.</w:t>
      </w:r>
    </w:p>
    <w:p w14:paraId="16DC87FA" w14:textId="77777777" w:rsidR="00546F56" w:rsidRPr="002E3ED0" w:rsidRDefault="00546F56" w:rsidP="00875014">
      <w:pPr>
        <w:spacing w:line="360" w:lineRule="auto"/>
        <w:rPr>
          <w:rFonts w:ascii="Times New Roman" w:eastAsia="Times New Roman" w:hAnsi="Times New Roman" w:cs="Times New Roman"/>
          <w:sz w:val="24"/>
          <w:szCs w:val="24"/>
        </w:rPr>
      </w:pPr>
      <w:r w:rsidRPr="002E3ED0">
        <w:rPr>
          <w:rFonts w:ascii="Times New Roman" w:hAnsi="Times New Roman" w:cs="Times New Roman"/>
          <w:sz w:val="24"/>
          <w:szCs w:val="24"/>
        </w:rPr>
        <w:br w:type="page"/>
      </w:r>
    </w:p>
    <w:p w14:paraId="25593EF7" w14:textId="77777777" w:rsidR="002F54A1" w:rsidRPr="002E3ED0" w:rsidRDefault="002F54A1" w:rsidP="00875014">
      <w:pPr>
        <w:pStyle w:val="Heading1"/>
        <w:rPr>
          <w:color w:val="auto"/>
        </w:rPr>
      </w:pPr>
      <w:bookmarkStart w:id="9" w:name="_Toc238751469"/>
      <w:r w:rsidRPr="002E3ED0">
        <w:rPr>
          <w:color w:val="auto"/>
        </w:rPr>
        <w:lastRenderedPageBreak/>
        <w:t>CHAPTER TWO: LITERATURE REVIEW</w:t>
      </w:r>
      <w:bookmarkEnd w:id="9"/>
    </w:p>
    <w:p w14:paraId="6BD14599" w14:textId="77777777" w:rsidR="00546F56" w:rsidRPr="002E3ED0" w:rsidRDefault="00546F56" w:rsidP="00875014">
      <w:pPr>
        <w:pStyle w:val="Heading2"/>
        <w:jc w:val="both"/>
        <w:rPr>
          <w:color w:val="auto"/>
        </w:rPr>
      </w:pPr>
      <w:bookmarkStart w:id="10" w:name="_Toc238751470"/>
      <w:r w:rsidRPr="002E3ED0">
        <w:rPr>
          <w:color w:val="auto"/>
        </w:rPr>
        <w:t>Chapter Introduction</w:t>
      </w:r>
      <w:bookmarkEnd w:id="10"/>
    </w:p>
    <w:p w14:paraId="5667DD71" w14:textId="77777777" w:rsidR="00546F56" w:rsidRPr="002E3ED0" w:rsidRDefault="00546F56" w:rsidP="00875014">
      <w:pPr>
        <w:pStyle w:val="NormalWeb"/>
        <w:widowControl w:val="0"/>
        <w:spacing w:before="0" w:beforeAutospacing="0" w:after="0" w:afterAutospacing="0" w:line="360" w:lineRule="auto"/>
        <w:ind w:firstLine="720"/>
        <w:jc w:val="both"/>
      </w:pPr>
      <w:r w:rsidRPr="002E3ED0">
        <w:t>The literature review was conducted by summarising and analysing the works related to customer trust and security perception in digital banking in the UK, providing a conceptual and theoretical basis for the study. It reviews the current literature on the most important concepts in digital banking, customer trust, customer security perception, and perceived risk, explaining why these are important to the adoption and ongoing use of digital banking services by customers. The chapter also introduces the theoretical backdrop of the study: the Technology Acceptance Model (TAM), and outlines its applicability to comprehending technology adoption in digital banking. Besides, the empirical literature is critically synthesised to compare technological, regulatory, and behavioural aspects that can affect customer trust and their perception of security, and to assess the methodological approaches used in the past. Finally, the chapter pinpoints the gap in research, which will show the need for a systematic review on the digital banking context in the UK.</w:t>
      </w:r>
    </w:p>
    <w:p w14:paraId="69A71064" w14:textId="77777777" w:rsidR="007845E0" w:rsidRPr="002E3ED0" w:rsidRDefault="00000000">
      <w:pPr>
        <w:widowControl w:val="0"/>
        <w:spacing w:line="360" w:lineRule="auto"/>
        <w:ind w:firstLine="720"/>
        <w:jc w:val="both"/>
        <w:rPr>
          <w:rFonts w:ascii="Times New Roman" w:hAnsi="Times New Roman" w:cs="Times New Roman"/>
        </w:rPr>
      </w:pPr>
      <w:r w:rsidRPr="002E3ED0">
        <w:rPr>
          <w:rFonts w:ascii="Times New Roman" w:eastAsia="Times New Roman" w:hAnsi="Times New Roman" w:cs="Times New Roman"/>
          <w:b/>
          <w:bCs/>
          <w:sz w:val="24"/>
          <w:szCs w:val="24"/>
        </w:rPr>
        <w:t>This chapter is a narrative, non-systematic scoping of the field: it uses purposive, illustrative sources to establish concepts, theory and the technological, behavioural and regulatory structure tested later, and it is not bound by a replicable search protocol. Chapters Three and Four then apply a separate, PRISMA-guided search and screening protocol, each to its own independently identified sample of twenty-five studies, so that the conceptual case made here and the systematic evidence that tests it remain analytically distinct.</w:t>
      </w:r>
    </w:p>
    <w:p w14:paraId="492CAC16" w14:textId="77777777" w:rsidR="00546F56" w:rsidRPr="002E3ED0" w:rsidRDefault="00546F56" w:rsidP="00875014">
      <w:pPr>
        <w:pStyle w:val="Heading2"/>
        <w:jc w:val="both"/>
        <w:rPr>
          <w:rStyle w:val="Strong"/>
          <w:color w:val="auto"/>
        </w:rPr>
      </w:pPr>
      <w:bookmarkStart w:id="11" w:name="_Toc238751471"/>
      <w:r w:rsidRPr="002E3ED0">
        <w:rPr>
          <w:rStyle w:val="Strong"/>
          <w:b/>
          <w:bCs/>
          <w:color w:val="auto"/>
        </w:rPr>
        <w:t>Theoretical Framework</w:t>
      </w:r>
      <w:bookmarkEnd w:id="11"/>
    </w:p>
    <w:p w14:paraId="51D2A713" w14:textId="77777777" w:rsidR="00546F56" w:rsidRPr="002E3ED0" w:rsidRDefault="00546F56" w:rsidP="00D279C7">
      <w:pPr>
        <w:pStyle w:val="Heading3"/>
      </w:pPr>
      <w:bookmarkStart w:id="12" w:name="_Toc238751472"/>
      <w:r w:rsidRPr="002E3ED0">
        <w:t>Technology Acceptance Model (TAM)</w:t>
      </w:r>
      <w:bookmarkEnd w:id="12"/>
    </w:p>
    <w:p w14:paraId="19607100" w14:textId="77777777" w:rsidR="00546F56" w:rsidRPr="002E3ED0" w:rsidRDefault="00546F56" w:rsidP="00875014">
      <w:pPr>
        <w:pStyle w:val="NormalWeb"/>
        <w:widowControl w:val="0"/>
        <w:spacing w:before="0" w:beforeAutospacing="0" w:after="0" w:afterAutospacing="0" w:line="360" w:lineRule="auto"/>
        <w:ind w:firstLine="720"/>
        <w:jc w:val="both"/>
      </w:pPr>
      <w:r w:rsidRPr="002E3ED0">
        <w:t xml:space="preserve">The Technology Acceptance Model (TAM) developed by Davis (1989) has been developed from two major constructs: perceived usefulness and perceived ease of use, to explain the acceptance and adoption of new technology by users. Perceived usefulness is defined as the user's expectation that the use of a specific technology will increase task performance, while perceived ease of use is the user's perception of the ease of the technology. These two constructs affect users' attitude towards technology, which in turn affects their behavioural intentions and actual use, according to TAM. </w:t>
      </w:r>
    </w:p>
    <w:p w14:paraId="23DBD276" w14:textId="77777777" w:rsidR="00546F56" w:rsidRPr="002E3ED0" w:rsidRDefault="00546F56" w:rsidP="00875014">
      <w:pPr>
        <w:pStyle w:val="NormalWeb"/>
        <w:widowControl w:val="0"/>
        <w:spacing w:before="0" w:beforeAutospacing="0" w:after="0" w:afterAutospacing="0" w:line="360" w:lineRule="auto"/>
        <w:ind w:firstLine="720"/>
        <w:jc w:val="both"/>
      </w:pPr>
      <w:r w:rsidRPr="002E3ED0">
        <w:t xml:space="preserve">TAM has been extensively used in digital banking research to account for customers' adoption intentions regarding digital and mobile banking services, and many researchers have </w:t>
      </w:r>
      <w:r w:rsidRPr="002E3ED0">
        <w:lastRenderedPageBreak/>
        <w:t>extended the model by including other factors such as trust, perceived security, privacy, and perceived risk to enhance the explanatory power of the model (Hamakhan, 2020; Almaiah et al., 2022). The TAM has also been cited as the most commonly used theoretical framework in studies of digital banking, as it is a useful tool for understanding customer technology acceptance behaviour, which is supported by the meta-analytic evidence (Kumar et al., 2023; Ladeira, Jafar and de Oliveira Santini, 2025).</w:t>
      </w:r>
    </w:p>
    <w:p w14:paraId="4325BAF4" w14:textId="0F21D891" w:rsidR="00546F56" w:rsidRPr="002E3ED0" w:rsidRDefault="00546F56" w:rsidP="00875014">
      <w:pPr>
        <w:pStyle w:val="NormalWeb"/>
        <w:widowControl w:val="0"/>
        <w:spacing w:before="0" w:beforeAutospacing="0" w:after="0" w:afterAutospacing="0" w:line="360" w:lineRule="auto"/>
        <w:ind w:firstLine="720"/>
        <w:jc w:val="both"/>
      </w:pPr>
      <w:r w:rsidRPr="002E3ED0">
        <w:t xml:space="preserve">In the UK context of digital banking, TAM offers a relevant theoretical perspective on how perceptions of trust and security are affected by the features of technology. </w:t>
      </w:r>
      <w:r w:rsidR="00BC0071">
        <w:t>Perceived usefulness, usability, and security of digital banking services will increase the likelihood of customer adoption, whereas concerns about cybersecurity and privacy will decrease perceived usefulness and make customers</w:t>
      </w:r>
      <w:r w:rsidRPr="002E3ED0">
        <w:t xml:space="preserve"> less likely to adopt the service (Apau, Titis and Lallie, 2025; Wenxiang et al., 2023). </w:t>
      </w:r>
    </w:p>
    <w:p w14:paraId="1982046D" w14:textId="77777777" w:rsidR="00546F56" w:rsidRPr="002E3ED0" w:rsidRDefault="00546F56" w:rsidP="00875014">
      <w:pPr>
        <w:pStyle w:val="NormalWeb"/>
        <w:widowControl w:val="0"/>
        <w:spacing w:before="0" w:beforeAutospacing="0" w:after="0" w:afterAutospacing="0" w:line="360" w:lineRule="auto"/>
        <w:ind w:firstLine="720"/>
        <w:jc w:val="both"/>
      </w:pPr>
      <w:r w:rsidRPr="002E3ED0">
        <w:t>TAM has been criticised for focusing too much attention on the technological features and not enough on the wider contextual factors, including regulatory issues, institutional trust, and social factors, that are also likely to influence customer behavior (Wilson and Tam, 2026). It also rests on the assumption that technology adoption is likely more rational, and it fails to account for the temporal and dynamic aspects of trust (Lee and Kim, 2020). TAM, however, is appropriate for this study as it offers a strong base for combining the evidence to understand the impact of technological factors on customer trust and customer security perception. Moreover, the present review extends the TAM by adding literature findings on regulatory and behavioural factors, which provide a more comprehensive picture of trust and security perception in the specific context of digital banking in the UK (Wilson and Tam, 2026; Suwito and Panjaitan, 2025).</w:t>
      </w:r>
    </w:p>
    <w:p w14:paraId="2BF07EA6" w14:textId="77777777" w:rsidR="00546F56" w:rsidRPr="002E3ED0" w:rsidRDefault="00546F56" w:rsidP="00875014">
      <w:pPr>
        <w:pStyle w:val="Heading2"/>
        <w:jc w:val="both"/>
        <w:rPr>
          <w:rStyle w:val="Strong"/>
          <w:color w:val="auto"/>
        </w:rPr>
      </w:pPr>
      <w:bookmarkStart w:id="13" w:name="_Toc238751473"/>
      <w:r w:rsidRPr="002E3ED0">
        <w:rPr>
          <w:rStyle w:val="Strong"/>
          <w:b/>
          <w:bCs/>
          <w:color w:val="auto"/>
        </w:rPr>
        <w:t>Conceptual Review</w:t>
      </w:r>
      <w:bookmarkEnd w:id="13"/>
    </w:p>
    <w:p w14:paraId="443770DC" w14:textId="77777777" w:rsidR="00546F56" w:rsidRPr="002E3ED0" w:rsidRDefault="00546F56" w:rsidP="00D279C7">
      <w:pPr>
        <w:pStyle w:val="Heading3"/>
      </w:pPr>
      <w:bookmarkStart w:id="14" w:name="_Toc238751474"/>
      <w:r w:rsidRPr="002E3ED0">
        <w:rPr>
          <w:rStyle w:val="Strong"/>
          <w:b/>
          <w:bCs/>
        </w:rPr>
        <w:t>Digital Banking</w:t>
      </w:r>
      <w:bookmarkEnd w:id="14"/>
    </w:p>
    <w:p w14:paraId="1DF17780" w14:textId="77777777" w:rsidR="00794C8F" w:rsidRPr="002E3ED0" w:rsidRDefault="00875014" w:rsidP="00875014">
      <w:pPr>
        <w:spacing w:line="360" w:lineRule="auto"/>
        <w:ind w:firstLine="720"/>
        <w:jc w:val="both"/>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Digital banking allows customers to access financial services via online banking channels, such as the internet, mobile apps, and other digital platforms without the need to visit a branch of the bank (Garzaro, Varotto and Pedro, 2020). It now features mobile banking, digital payments, and Open Banking and FinTech services, all to enhance convenience and accessibility (Chang, Chan and Hsieh, 2025). The UK's laws and regulations, including PSD2 and Open Banking, support innovation and data sharing. Customer uptake and ongoing usage are, however, becoming dependent on trust and security as cyber threats and fraud rise (Cele and Kwenda, 2024; Kumar et al., 2023).</w:t>
      </w:r>
    </w:p>
    <w:p w14:paraId="5382193A" w14:textId="77777777" w:rsidR="00546F56" w:rsidRPr="002E3ED0" w:rsidRDefault="00546F56" w:rsidP="00D279C7">
      <w:pPr>
        <w:pStyle w:val="Heading3"/>
      </w:pPr>
      <w:bookmarkStart w:id="15" w:name="_Toc238751475"/>
      <w:r w:rsidRPr="002E3ED0">
        <w:rPr>
          <w:rStyle w:val="Strong"/>
          <w:b/>
          <w:bCs/>
        </w:rPr>
        <w:lastRenderedPageBreak/>
        <w:t>Customer Trust</w:t>
      </w:r>
      <w:bookmarkEnd w:id="15"/>
    </w:p>
    <w:p w14:paraId="410EBAF5" w14:textId="77777777" w:rsidR="00546F56" w:rsidRPr="002E3ED0" w:rsidRDefault="00875014" w:rsidP="00875014">
      <w:pPr>
        <w:spacing w:line="360" w:lineRule="auto"/>
        <w:ind w:firstLine="720"/>
        <w:jc w:val="both"/>
        <w:rPr>
          <w:rFonts w:ascii="Times New Roman" w:hAnsi="Times New Roman" w:cs="Times New Roman"/>
          <w:sz w:val="24"/>
          <w:szCs w:val="24"/>
        </w:rPr>
      </w:pPr>
      <w:r w:rsidRPr="002E3ED0">
        <w:rPr>
          <w:rFonts w:ascii="Times New Roman" w:eastAsia="Times New Roman" w:hAnsi="Times New Roman" w:cs="Times New Roman"/>
          <w:sz w:val="24"/>
          <w:szCs w:val="24"/>
        </w:rPr>
        <w:t>Customer trust is a customer's belief that banks will offer secure, reliable, and honest digital banking services, and that personal and financial information will be protected (Roberts-Lombard and Petzer, 2021). Trust eliminates uncertainty and makes customers more likely to adopt and stay with digital banking (Garrouch, 2021). It has cognitive, affective, and behavioural components which are affected by security, privacy, service quality, institutional reputation, and regulatory compliance, especially in the context of the UK Open Banking (Kumar et al., 2023; Apau, Titis and Lallie, 2025; Wilson and Tam, 2026).</w:t>
      </w:r>
    </w:p>
    <w:p w14:paraId="6D2730A1" w14:textId="77777777" w:rsidR="00546F56" w:rsidRPr="002E3ED0" w:rsidRDefault="00546F56" w:rsidP="00D279C7">
      <w:pPr>
        <w:pStyle w:val="Heading3"/>
      </w:pPr>
      <w:bookmarkStart w:id="16" w:name="_Toc238751476"/>
      <w:r w:rsidRPr="002E3ED0">
        <w:rPr>
          <w:rStyle w:val="Strong"/>
          <w:b/>
          <w:bCs/>
        </w:rPr>
        <w:t>Security Perception</w:t>
      </w:r>
      <w:bookmarkEnd w:id="16"/>
    </w:p>
    <w:p w14:paraId="13817259" w14:textId="77777777" w:rsidR="00546F56" w:rsidRPr="002E3ED0" w:rsidRDefault="00875014" w:rsidP="00875014">
      <w:pPr>
        <w:pStyle w:val="NormalWeb"/>
        <w:widowControl w:val="0"/>
        <w:spacing w:before="0" w:beforeAutospacing="0" w:after="0" w:afterAutospacing="0" w:line="360" w:lineRule="auto"/>
        <w:ind w:firstLine="720"/>
        <w:jc w:val="both"/>
      </w:pPr>
      <w:r w:rsidRPr="002E3ED0">
        <w:t>Security perception is defined as the customers' confidence in the ability of the digital banking platforms to safeguard financial transactions and customer information against cyber attacks (Afzal et al., 2024). This is based on trust in security aspects like encryption, multi-factor authentication, biometric authentication, and fraud detection rather than technical protection (Wilson and Tam, 2026). Positive security perceptions have been shown to build trust and retention, while negative perceptions of phishing and online fraud and identity theft have been shown to lower confidence and retention in online banking services (Wenxiang et al., 2023; Cele and Kwenda, 2024).</w:t>
      </w:r>
    </w:p>
    <w:p w14:paraId="680C7C7F" w14:textId="77777777" w:rsidR="00546F56" w:rsidRPr="002E3ED0" w:rsidRDefault="00546F56" w:rsidP="00D279C7">
      <w:pPr>
        <w:pStyle w:val="Heading3"/>
      </w:pPr>
      <w:bookmarkStart w:id="17" w:name="_Toc238751477"/>
      <w:r w:rsidRPr="002E3ED0">
        <w:rPr>
          <w:rStyle w:val="Strong"/>
          <w:b/>
          <w:bCs/>
        </w:rPr>
        <w:t>Perceived Risk</w:t>
      </w:r>
      <w:bookmarkEnd w:id="17"/>
    </w:p>
    <w:p w14:paraId="42110EDF" w14:textId="77777777" w:rsidR="00546F56" w:rsidRPr="002E3ED0" w:rsidRDefault="00875014" w:rsidP="00875014">
      <w:pPr>
        <w:pStyle w:val="NormalWeb"/>
        <w:widowControl w:val="0"/>
        <w:spacing w:before="0" w:beforeAutospacing="0" w:after="0" w:afterAutospacing="0" w:line="360" w:lineRule="auto"/>
        <w:ind w:firstLine="720"/>
        <w:jc w:val="both"/>
      </w:pPr>
      <w:r w:rsidRPr="002E3ED0">
        <w:t>Perceived risk is the expectation of potential losses or problems when using digital banking, including financial loss, privacy breaches, identity theft, and cyberattacks (Kumar et al., 2023). Before consumers choose to use a digital banking service, they consider these risks (Ladeira, Jafar and de Oliveira Santini, 2025). The financial, privacy, security, and performance dangers may diminish consumer trust and usage intentions. Nevertheless, with effective security measures, high institutional reputation, and supportive regulations, perceived risk and trust in digital banking can be minimised (Qatawneh et al., 2024; Oscar, 2026).</w:t>
      </w:r>
    </w:p>
    <w:p w14:paraId="237448B8" w14:textId="77777777" w:rsidR="00546F56" w:rsidRPr="002E3ED0" w:rsidRDefault="00F51FEB" w:rsidP="00875014">
      <w:pPr>
        <w:pStyle w:val="Heading2"/>
        <w:jc w:val="both"/>
        <w:rPr>
          <w:color w:val="auto"/>
        </w:rPr>
      </w:pPr>
      <w:bookmarkStart w:id="18" w:name="_Toc238751478"/>
      <w:r w:rsidRPr="002E3ED0">
        <w:rPr>
          <w:color w:val="auto"/>
        </w:rPr>
        <w:t>Technological Factors Influencing Customer Trust and Security Perception in UK Digital Banking</w:t>
      </w:r>
      <w:bookmarkEnd w:id="18"/>
    </w:p>
    <w:p w14:paraId="3F168E2A" w14:textId="77777777" w:rsidR="00875014" w:rsidRPr="002E3ED0" w:rsidRDefault="00875014" w:rsidP="00875014">
      <w:pPr>
        <w:pStyle w:val="NormalWeb"/>
        <w:widowControl w:val="0"/>
        <w:spacing w:before="0" w:beforeAutospacing="0" w:after="0" w:afterAutospacing="0" w:line="360" w:lineRule="auto"/>
        <w:ind w:firstLine="720"/>
        <w:jc w:val="both"/>
      </w:pPr>
      <w:r w:rsidRPr="002E3ED0">
        <w:t xml:space="preserve">Technological factors are well acknowledged as the basis of customers' trust and perception of security in digital banking, as customers are likely to embrace and remain with digital financial services when they believe the technology is secure, reliable, and user-friendly (Hamakhan, 2020; Kumar et al., 2023). In the UK, as technology has become more prominent in financial services, </w:t>
      </w:r>
      <w:r w:rsidRPr="002E3ED0">
        <w:lastRenderedPageBreak/>
        <w:t>such as Open Banking, mobile banking apps, cloud-based financial services and FinTech innovations, there has been a growing emphasis on the significance of technological security, as consumers are frequently exchanging sensitive financial data through interconnected platforms (Wilson and Tam, 2026). As such, technological protection measures are now an absolute necessity not only for the security of customer data but also to bolster confidence in digital banking systems and foster extended customer relationships (Hamakhan, 2020; Wilson and Tam, 2026).</w:t>
      </w:r>
    </w:p>
    <w:p w14:paraId="5F58BA7F" w14:textId="77777777" w:rsidR="00875014" w:rsidRPr="002E3ED0" w:rsidRDefault="00875014" w:rsidP="00875014">
      <w:pPr>
        <w:pStyle w:val="NormalWeb"/>
        <w:widowControl w:val="0"/>
        <w:spacing w:before="0" w:beforeAutospacing="0" w:after="0" w:afterAutospacing="0" w:line="360" w:lineRule="auto"/>
        <w:ind w:firstLine="720"/>
        <w:jc w:val="both"/>
      </w:pPr>
      <w:r w:rsidRPr="002E3ED0">
        <w:t>Security, privacy, system quality, and usability have been consistently cited as the key technology factors that influence customer trust in previous research. According to Apau, Titis and Lallie (2025), the adoption of digital banking services can be facilitated by the increase in customers' behavioural intentions, which are supported by the three factors of technology trust, institutional trust, and effective security measures. Many scholars have similarly found that the perceived security, perceived usefulness, and perceived ease of use have positive effects on the adoption and continued use of digital banking (Wenxiang et al., 2023). In addition, Islam et al. (2020) proved that the quality of the websites, the quality of information, and user interaction can increase user trust through providing a reliable and comfortable banking experience. The results confirm the Technology Acceptance Model (TAM), which states that customers are more inclined to adopt new technologies if they believe that they have value and are easy to use (Davis, 1989). Together, these technological features minimize uncertainty and increase customers' confidence in financial transactions on the internet (Apau, Titis and Lallie, 2025; Wenxiang et al., 2023).</w:t>
      </w:r>
    </w:p>
    <w:p w14:paraId="69F780C9" w14:textId="77777777" w:rsidR="00875014" w:rsidRPr="002E3ED0" w:rsidRDefault="00875014" w:rsidP="00875014">
      <w:pPr>
        <w:pStyle w:val="NormalWeb"/>
        <w:widowControl w:val="0"/>
        <w:spacing w:before="0" w:beforeAutospacing="0" w:after="0" w:afterAutospacing="0" w:line="360" w:lineRule="auto"/>
        <w:ind w:firstLine="720"/>
        <w:jc w:val="both"/>
      </w:pPr>
      <w:r w:rsidRPr="002E3ED0">
        <w:t>Although the evidence presented on technology's effects is strong, there are a number of limitations in the current research. Numerous studies make this assumption implicitly, assuming that customers react to security technologies like encryption, biometric authentication, secure application programming interfaces (APIs), and multi-factor authentication (Afzal et al., 2024; Cele and Kwenda, 2024). But that's a big leap because customers have significant differences in their own digital literacy, past online banking experience, age, and technological confidence. Older consumers and those who are less computer literate may not be aware of and/or understand higher security levels, while younger and computer literate consumers may consider higher security levels as standard, rather than trust-enhancing features (Wilson and Tam, 2026). The variations indicate that technological capability is not enough to account for the variation in customer trust and security perception (Afzal et al., 2024).</w:t>
      </w:r>
    </w:p>
    <w:p w14:paraId="57149960" w14:textId="77777777" w:rsidR="00875014" w:rsidRPr="002E3ED0" w:rsidRDefault="00875014" w:rsidP="00875014">
      <w:pPr>
        <w:pStyle w:val="NormalWeb"/>
        <w:widowControl w:val="0"/>
        <w:spacing w:before="0" w:beforeAutospacing="0" w:after="0" w:afterAutospacing="0" w:line="360" w:lineRule="auto"/>
        <w:ind w:firstLine="720"/>
        <w:jc w:val="both"/>
      </w:pPr>
      <w:r w:rsidRPr="002E3ED0">
        <w:t xml:space="preserve">Other studies show that the customer's perception of security can be more important than </w:t>
      </w:r>
      <w:r w:rsidRPr="002E3ED0">
        <w:lastRenderedPageBreak/>
        <w:t>the actual technical security. Overall, customers rate digital banking services based on whether they think their personal and financial data is secure and not based on their objective assessment of the effectiveness of the encryption algorithms or the cybersecurity infrastructure (Afzal et al., 2024; Wilson and Tam, 2026). The use of technologies like encryption, biometric verification, fraud detection systems, artificial intelligence monitoring, and secure APIs all lead to a higher level of security perceptions, minimising worries about cyberattacks, phishing, identity theft, and unauthorised access (Cele and Kwenda, 2024). However, if customers are not informed about these technological safeguards, or do not have the necessary information on how they work, significant technology investments could not lead to commensurate gains in trust and confidence (Afzal et al., 2024).</w:t>
      </w:r>
    </w:p>
    <w:p w14:paraId="4C4CE977" w14:textId="77777777" w:rsidR="00491F46" w:rsidRPr="002E3ED0" w:rsidRDefault="00875014" w:rsidP="00491F46">
      <w:pPr>
        <w:pStyle w:val="NormalWeb"/>
        <w:widowControl w:val="0"/>
        <w:spacing w:before="0" w:beforeAutospacing="0" w:after="0" w:afterAutospacing="0" w:line="360" w:lineRule="auto"/>
        <w:ind w:firstLine="720"/>
        <w:jc w:val="both"/>
      </w:pPr>
      <w:r w:rsidRPr="002E3ED0">
        <w:t>Moreover, technology is just a part of the equation when it comes to customer confidence in digital banking. The findings of Almaiah et al. (2022) show that besides the technological characteristics, facilitating conditions, performance expectancy, and perceived risk are significant factors affecting customers' satisfaction. Likewise, Chang, Chan and Hsieh (2025) stated that customer trust is not built solely on technology, but rather through an interaction between system quality, user experience and customer service. In general, the literature validates the importance of technological aspects as core pillars of customer trust and perception of security in UK digital banking. But current research is still technology-focused and is limited in its consideration of the interplay between technology and behavioural properties and the UK regulatory context. This disjointed vision also emphasizes the relevance of a more holistic approach that will include both technological, behavioural, and institutional factors in the context of customer trust and security perception (Almaiah et al., 2022; Chang, Chan and Hsieh, 2025).</w:t>
      </w:r>
    </w:p>
    <w:p w14:paraId="3DA56228" w14:textId="77777777" w:rsidR="001068C4" w:rsidRPr="002E3ED0" w:rsidRDefault="00000000" w:rsidP="00491F46">
      <w:pPr>
        <w:pStyle w:val="NormalWeb"/>
        <w:widowControl w:val="0"/>
        <w:spacing w:before="0" w:beforeAutospacing="0" w:after="0" w:afterAutospacing="0" w:line="360" w:lineRule="auto"/>
        <w:ind w:firstLine="720"/>
        <w:jc w:val="both"/>
      </w:pPr>
      <w:r w:rsidRPr="002E3ED0">
        <w:t xml:space="preserve">The Barclays mainframe failure of January 2025, introduced in Chapter One, illustrates this relationship concretely. Although the underlying fault was one of system reliability rather than cybersecurity in the narrower sense, 56% of the bank’s digital payments failed over three days, and customers reported being unable to pay rent, buy essentials or access wages on payday (Computer Weekly, 2025). This example is instructive because it shows that ‘technological factors’ in the literature reviewed above cannot be reduced to security features such as encryption or biometric authentication alone: system availability and processing capacity are equally technological determinants of trust, yet they receive comparatively little attention in adoption-focused studies such as Apau, Titis and Lallie (2025) and Wenxiang et al. (2023), which </w:t>
      </w:r>
      <w:r w:rsidRPr="002E3ED0">
        <w:lastRenderedPageBreak/>
        <w:t>concentrate on perceived security and ease of use rather than on operational continuity. This gap between the literature’s narrow, security-centred definition of ‘technological factors’ and the broader set of technological failures that UK customers actually experience is revisited in the thematic analysis in Chapter Four.</w:t>
      </w:r>
    </w:p>
    <w:p w14:paraId="0CB36FE7" w14:textId="77777777" w:rsidR="00546F56" w:rsidRPr="002E3ED0" w:rsidRDefault="00546F56" w:rsidP="00875014">
      <w:pPr>
        <w:pStyle w:val="Heading2"/>
        <w:rPr>
          <w:color w:val="auto"/>
        </w:rPr>
      </w:pPr>
      <w:bookmarkStart w:id="19" w:name="_Toc238751479"/>
      <w:r w:rsidRPr="002E3ED0">
        <w:rPr>
          <w:color w:val="auto"/>
        </w:rPr>
        <w:t>Technological, Regulatory, and Behavioural Factors Influencing Customer Trust and Security Perception in UK Digital Banking</w:t>
      </w:r>
      <w:bookmarkEnd w:id="19"/>
    </w:p>
    <w:p w14:paraId="5AD89C73" w14:textId="77777777" w:rsidR="00875014" w:rsidRPr="002E3ED0" w:rsidRDefault="00875014" w:rsidP="00875014">
      <w:pPr>
        <w:pStyle w:val="isselectedend"/>
        <w:widowControl w:val="0"/>
        <w:spacing w:before="0" w:beforeAutospacing="0" w:after="0" w:afterAutospacing="0" w:line="360" w:lineRule="auto"/>
        <w:ind w:firstLine="720"/>
        <w:jc w:val="both"/>
      </w:pPr>
      <w:r w:rsidRPr="002E3ED0">
        <w:t>Customer trust in digital banking is influenced by a combination of technological security and customer perceptions and reactions to digital banking services, making behavioural factors important. Previous experience, perceived risk, financial institution confidence and willingness to embrace new technology are key factors considered when evaluating digital banking (Roberts-Lombard and Petzer, 2021; Kang and Shin, 2026). While secure technological systems lay the groundwork for digital banking, trust is a psychological decision made as a result of interaction and experience and cannot be achieved by technology alone.</w:t>
      </w:r>
    </w:p>
    <w:p w14:paraId="42F6D612" w14:textId="77777777" w:rsidR="00875014" w:rsidRPr="002E3ED0" w:rsidRDefault="00875014" w:rsidP="00875014">
      <w:pPr>
        <w:pStyle w:val="isselectedend"/>
        <w:widowControl w:val="0"/>
        <w:spacing w:before="0" w:beforeAutospacing="0" w:after="0" w:afterAutospacing="0" w:line="360" w:lineRule="auto"/>
        <w:ind w:firstLine="720"/>
        <w:jc w:val="both"/>
      </w:pPr>
      <w:r w:rsidRPr="002E3ED0">
        <w:t>One of the strongest behavioural factors that affects trust is perceived risk. Afzal et al. (2024) revealed that customers are less inclined to adopt digital banking services if they are worried about fraud, identity theft, privacy invasion, or financial losses. Likewise, Almaiah et al. (2022) discovered that perceived risk diminishes customer satisfaction even if the digital banking systems are working properly; thus, subjective values can be more influential than the actual security measures. Most of the studies, however, measure perceived risk at a single point in time and provide little information about the change in perceptions as customers gain experience.</w:t>
      </w:r>
    </w:p>
    <w:p w14:paraId="127F58C4" w14:textId="77777777" w:rsidR="00875014" w:rsidRPr="002E3ED0" w:rsidRDefault="00875014" w:rsidP="00875014">
      <w:pPr>
        <w:pStyle w:val="isselectedend"/>
        <w:widowControl w:val="0"/>
        <w:spacing w:before="0" w:beforeAutospacing="0" w:after="0" w:afterAutospacing="0" w:line="360" w:lineRule="auto"/>
        <w:ind w:firstLine="720"/>
        <w:jc w:val="both"/>
      </w:pPr>
      <w:r w:rsidRPr="002E3ED0">
        <w:t>Another behavioural determinant of digital banking adoption is institutional trust. Customers would be more likely to utilize digital banking if they think financial institutions are competent, transparent, and able to protect their financial assets (Apau, Titis and Lallie, 2025). Similarly, Wilson and Tam (2026) state that institutional trust has been growing in significance in the UK after the introduction of Open Banking, where customers are required to pass on financial data to third-party service providers, which are authorised to access it. While Open Banking can lend convenience and innovation, the same could also raise concerns about data privacy, which means institutional trust is key. However, there is little evidence about the stability of institutional trust after security incidents or service failures.</w:t>
      </w:r>
    </w:p>
    <w:p w14:paraId="3A7D2415" w14:textId="77777777" w:rsidR="00875014" w:rsidRPr="002E3ED0" w:rsidRDefault="00875014" w:rsidP="00875014">
      <w:pPr>
        <w:pStyle w:val="isselectedend"/>
        <w:widowControl w:val="0"/>
        <w:spacing w:before="0" w:beforeAutospacing="0" w:after="0" w:afterAutospacing="0" w:line="360" w:lineRule="auto"/>
        <w:ind w:firstLine="720"/>
        <w:jc w:val="both"/>
      </w:pPr>
      <w:r w:rsidRPr="002E3ED0">
        <w:t xml:space="preserve">Customers' awareness and experience of digital banking technologies also influence behavioural responses. The study conducted by Wenxiang et al. (2023) revealed that higher </w:t>
      </w:r>
      <w:r w:rsidRPr="002E3ED0">
        <w:lastRenderedPageBreak/>
        <w:t>satisfaction with digital banking's usefulness and ease of use correlates with increased trust and positive attitudes towards the adoption of digital banking. In the same way, Islam et al. 2020 demonstrated that positive user experiences boost customers' confidence. However, the majority of these studies focus on behavioural intentions and not long-term development of trust.</w:t>
      </w:r>
    </w:p>
    <w:p w14:paraId="6DDDFB0A" w14:textId="77777777" w:rsidR="00491F46" w:rsidRPr="002E3ED0" w:rsidRDefault="00875014" w:rsidP="00491F46">
      <w:pPr>
        <w:pStyle w:val="isselectedend"/>
        <w:widowControl w:val="0"/>
        <w:spacing w:before="0" w:beforeAutospacing="0" w:after="0" w:afterAutospacing="0" w:line="360" w:lineRule="auto"/>
        <w:ind w:firstLine="720"/>
        <w:jc w:val="both"/>
      </w:pPr>
      <w:r w:rsidRPr="002E3ED0">
        <w:t>Demographic differences also exist for behavioural influences. There are age, education, income, and digital literacy differences in trust (Roberts-Lombard and Petzer, 2021). Customers who are younger and more technologically literate tend to feel more confident, while older users may feel there are more risks associated with technology, like biometric authentication and encryption. But results regarding the differences in the demographic characteristics are inconclusive. In summary, the behavioural factors are important in driving customer trust in UK digital banking, and they are perceived risk, institutional trust, user experience, and technology familiarity. Although there were valuable contributions, there is inadequate knowledge of the interactions of these behavioural influences and how they evolve over time and by customer group in the existing research, indicating the need for more integrated research.</w:t>
      </w:r>
    </w:p>
    <w:p w14:paraId="77F49E6C" w14:textId="77777777" w:rsidR="001068C4" w:rsidRPr="002E3ED0" w:rsidRDefault="00000000" w:rsidP="00491F46">
      <w:pPr>
        <w:pStyle w:val="isselectedend"/>
        <w:widowControl w:val="0"/>
        <w:spacing w:before="0" w:beforeAutospacing="0" w:after="0" w:afterAutospacing="0" w:line="360" w:lineRule="auto"/>
        <w:ind w:firstLine="720"/>
        <w:jc w:val="both"/>
      </w:pPr>
      <w:r w:rsidRPr="002E3ED0">
        <w:t>A degree of caution is warranted, however, before accepting these behavioural explanations at face value. Much of this evidence, including Afzal et al. (2024) and Almaiah et al. (2022), is drawn from self-reported survey responses collected in India, Malaysia and Saudi Arabia, where regulatory protections, deposit guarantees and fraud-reimbursement norms differ markedly from those in the UK. For example, the Payment Systems Regulator’s mandatory fraud-refund rule, which entitles UK victims to reimbursement within five working days up to £85,000 (Meierhans, 2024), removes much of the direct financial risk that respondents in these overseas studies were implicitly weighing when they reported their perceived risk. This suggests that the magnitude, though not necessarily the direction, of the perceived-risk-to-trust relationship reported in the literature may not transfer cleanly to the UK regulatory context, even where the underlying psychological mechanism is likely to hold. This dissertation treats this as a testable proposition rather than an established fact, and returns to it in the critical discussion in Chapter Four.</w:t>
      </w:r>
    </w:p>
    <w:p w14:paraId="7E6E95BC" w14:textId="77777777" w:rsidR="00546F56" w:rsidRPr="002E3ED0" w:rsidRDefault="00F51FEB" w:rsidP="00875014">
      <w:pPr>
        <w:pStyle w:val="Heading2"/>
        <w:rPr>
          <w:color w:val="auto"/>
        </w:rPr>
      </w:pPr>
      <w:bookmarkStart w:id="20" w:name="_Toc238751480"/>
      <w:r w:rsidRPr="002E3ED0">
        <w:rPr>
          <w:color w:val="auto"/>
        </w:rPr>
        <w:t>Research Gaps and Future Research Agenda for Strengthening Trust in UK Digital Banking</w:t>
      </w:r>
      <w:bookmarkEnd w:id="20"/>
    </w:p>
    <w:p w14:paraId="73733AEA" w14:textId="77777777" w:rsidR="00875014" w:rsidRPr="002E3ED0" w:rsidRDefault="00875014" w:rsidP="00875014">
      <w:pPr>
        <w:pStyle w:val="NormalWeb"/>
        <w:widowControl w:val="0"/>
        <w:spacing w:before="0" w:beforeAutospacing="0" w:after="0" w:afterAutospacing="0" w:line="360" w:lineRule="auto"/>
        <w:ind w:firstLine="720"/>
        <w:jc w:val="both"/>
      </w:pPr>
      <w:r w:rsidRPr="002E3ED0">
        <w:t xml:space="preserve">While existing research has contributed much to the knowledge around customers' trust in digital banking, some research gaps exist. The literature has been largely concerned with the identification of the individual technological, behavioural, or institutional factors that would affect </w:t>
      </w:r>
      <w:r w:rsidRPr="002E3ED0">
        <w:lastRenderedPageBreak/>
        <w:t>trust. But these elements are given individual, piecemeal consideration, and thus do not help to develop a coherent picture of how trust is built and sustained in digital banking contexts (Hamakhan, 2020; Roberts-Lombard and Petzer, 2021). Digital banking in the UK is on a continuous journey towards evolution, with Open Banking, Artificial Intelligence (AI) and FinTech innovation driving transformation, demanding a more sophisticated trust model.</w:t>
      </w:r>
    </w:p>
    <w:p w14:paraId="26A81952" w14:textId="77777777" w:rsidR="00875014" w:rsidRPr="002E3ED0" w:rsidRDefault="00875014" w:rsidP="00875014">
      <w:pPr>
        <w:pStyle w:val="NormalWeb"/>
        <w:widowControl w:val="0"/>
        <w:spacing w:before="0" w:beforeAutospacing="0" w:after="0" w:afterAutospacing="0" w:line="360" w:lineRule="auto"/>
        <w:ind w:firstLine="720"/>
        <w:jc w:val="both"/>
      </w:pPr>
      <w:r w:rsidRPr="002E3ED0">
        <w:t>The current literature review highlights that there is a strong focus on the technological aspects of trust and limited focus on behavioural and contextual aspects. Most of the studies have come to the conclusion that customer trust is positively related to the factors of security, privacy, system quality, and ease of use (Islam et al., 2020; Wenxiang et al., 2023; Kumar et al., 2023). While these results are substantiated, they tend to make the assumption that technological improvements lead to customer trust and confidence. But in practice, trust is about the way customers see and understand these technologies, not just their capabilities. Users with varying levels of digital literacy, financial literacy, and past experience may react in varying ways to the same security attributes. However, the technological explanation is not enough to explain trust in digital banking.</w:t>
      </w:r>
    </w:p>
    <w:p w14:paraId="19E03170" w14:textId="77777777" w:rsidR="00875014" w:rsidRPr="002E3ED0" w:rsidRDefault="00875014" w:rsidP="00875014">
      <w:pPr>
        <w:pStyle w:val="NormalWeb"/>
        <w:widowControl w:val="0"/>
        <w:spacing w:before="0" w:beforeAutospacing="0" w:after="0" w:afterAutospacing="0" w:line="360" w:lineRule="auto"/>
        <w:ind w:firstLine="720"/>
        <w:jc w:val="both"/>
      </w:pPr>
      <w:r w:rsidRPr="002E3ED0">
        <w:t>Secondly, there is a lack of integration of behavioural and institutional aspects. While existing studies have acknowledged the significance of perceived risk, institutional trust, and customer experience, they tend to be studied independently of technological aspects. (Apau, Titis and Lallie, 2025; Almaiah et al., 2022) Likewise, research on regulatory issues, such as Open Banking and data protection, focuses primarily on the ways in which these regulations enhance transparency and security, but does not delve into how customers interpret these regulations (Wilson and Tam, 2026). This therefore restricts the understanding of the interplay between technology, behaviour and regulation on the development of trust in the digital banking environment in the UK.</w:t>
      </w:r>
    </w:p>
    <w:p w14:paraId="48D55693" w14:textId="77777777" w:rsidR="00875014" w:rsidRPr="002E3ED0" w:rsidRDefault="00875014" w:rsidP="00875014">
      <w:pPr>
        <w:pStyle w:val="NormalWeb"/>
        <w:widowControl w:val="0"/>
        <w:spacing w:before="0" w:beforeAutospacing="0" w:after="0" w:afterAutospacing="0" w:line="360" w:lineRule="auto"/>
        <w:ind w:firstLine="720"/>
        <w:jc w:val="both"/>
      </w:pPr>
      <w:r w:rsidRPr="002E3ED0">
        <w:t xml:space="preserve">There are also some methodological shortcomings in the literature. Previous studies have used quantitative cross-sectional survey designs which capture perceptions of the customer at one point in time (Hamakhan, 2020). These studies only recognize statistical relationships among variables and are able to tell little about how trust can be built, may evolve over time, or can be lost. Customer attitudes can shift after technological advancements, security breaches, or regulations. Digital banking technologies are evolving rapidly, and customer attitudes may shift after new technological innovations, security incidents, or regulatory changes. Hence, future </w:t>
      </w:r>
      <w:r w:rsidRPr="002E3ED0">
        <w:lastRenderedPageBreak/>
        <w:t>longitudinal studies would help to deepen understanding of the development of trust in the face of an ever-changing digital banking context.</w:t>
      </w:r>
    </w:p>
    <w:p w14:paraId="3B672AC8" w14:textId="77777777" w:rsidR="00875014" w:rsidRPr="002E3ED0" w:rsidRDefault="00875014" w:rsidP="00875014">
      <w:pPr>
        <w:pStyle w:val="NormalWeb"/>
        <w:widowControl w:val="0"/>
        <w:spacing w:before="0" w:beforeAutospacing="0" w:after="0" w:afterAutospacing="0" w:line="360" w:lineRule="auto"/>
        <w:ind w:firstLine="720"/>
        <w:jc w:val="both"/>
      </w:pPr>
      <w:r w:rsidRPr="002E3ED0">
        <w:t>Another significant gap is with customer diversity. While there are some studies that acknowledge that age, education, or access to digital literacy affects trust (Roberts-Lombard and Petzer, 2021), few of these studies delve into the details of how these factors affect trust. The existing evidence has mixed findings on whether there is a significant moderation effect of demographic factors on trust in digital banking. Moreover, numerous studies are conducted at a national sample level without focusing on specific customer segments, making the results inapplicable in practice for banks that want to develop targeted approaches for building customer trust.</w:t>
      </w:r>
    </w:p>
    <w:p w14:paraId="7FE10B47" w14:textId="77777777" w:rsidR="00546F56" w:rsidRPr="002E3ED0" w:rsidRDefault="00875014" w:rsidP="00875014">
      <w:pPr>
        <w:pStyle w:val="NormalWeb"/>
        <w:widowControl w:val="0"/>
        <w:spacing w:before="0" w:beforeAutospacing="0" w:after="0" w:afterAutospacing="0" w:line="360" w:lineRule="auto"/>
        <w:ind w:firstLine="720"/>
        <w:jc w:val="both"/>
      </w:pPr>
      <w:r w:rsidRPr="002E3ED0">
        <w:t>Another gap in geographical research is also emphasised. The majority of the current research has been undertaken in developing countries or in a variety of global settings, with relatively fewer studies addressing the online banking landscape in the UK specifically (Wilson and Tam, 2026). The results of the other countries may not be directly relevant to the UK context given the relatively sophisticated digital banking landscape, the implementation of Open Banking regulations and the UK's very competitive FinTech market. Further studies with a greater focus on the UK are therefore required to gain insight into customer reactions to new technologies and legislation in this special financial environment.</w:t>
      </w:r>
    </w:p>
    <w:p w14:paraId="777A8DB6" w14:textId="77777777" w:rsidR="00546F56" w:rsidRPr="002E3ED0" w:rsidRDefault="00546F56" w:rsidP="00875014">
      <w:pPr>
        <w:pStyle w:val="Heading2"/>
        <w:jc w:val="both"/>
        <w:rPr>
          <w:color w:val="auto"/>
        </w:rPr>
      </w:pPr>
      <w:bookmarkStart w:id="21" w:name="_Toc238751481"/>
      <w:r w:rsidRPr="002E3ED0">
        <w:rPr>
          <w:color w:val="auto"/>
        </w:rPr>
        <w:t>Chapter Summary</w:t>
      </w:r>
      <w:bookmarkEnd w:id="21"/>
    </w:p>
    <w:p w14:paraId="339B871D" w14:textId="77777777" w:rsidR="00F51FEB" w:rsidRPr="002E3ED0" w:rsidRDefault="00875014" w:rsidP="00875014">
      <w:pPr>
        <w:spacing w:line="360" w:lineRule="auto"/>
        <w:ind w:firstLine="720"/>
        <w:jc w:val="both"/>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This chapter critically evaluated the current literature on customer trust and security perception in UK digital banking, and looked at the theoretical underpinnings and factors that affect customers' trust in digital banking. It covered the meaning of customer trust and security perception and examined theories with relevance to the concept, such as the Technology Acceptance Model (TAM) as the conceptual framework for understanding digital banking adoption. Finally, the literature was analysed based on the study's objectives, revealing that technological factors like security, privacy, system quality and usability play a significant role in enhancing the trust of customers in digital banking services, while behavioural factors like perceived risk, institutional trust, user experience and technology familiarity also play a major role in customers' willingness to adopt and continue using digital banking services.</w:t>
      </w:r>
    </w:p>
    <w:p w14:paraId="709B3115" w14:textId="77777777" w:rsidR="00F51FEB" w:rsidRPr="002E3ED0" w:rsidRDefault="00F51FEB" w:rsidP="00875014">
      <w:pPr>
        <w:spacing w:line="360" w:lineRule="auto"/>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br w:type="page"/>
      </w:r>
    </w:p>
    <w:p w14:paraId="0CB6F2C2" w14:textId="77777777" w:rsidR="00546F56" w:rsidRPr="002E3ED0" w:rsidRDefault="008F24D5" w:rsidP="00875014">
      <w:pPr>
        <w:pStyle w:val="Heading1"/>
      </w:pPr>
      <w:bookmarkStart w:id="22" w:name="_Toc238751482"/>
      <w:r w:rsidRPr="002E3ED0">
        <w:lastRenderedPageBreak/>
        <w:t>CHAPTER THREE: RESEARCH METHODOLOGY</w:t>
      </w:r>
      <w:bookmarkEnd w:id="22"/>
    </w:p>
    <w:p w14:paraId="618BC754" w14:textId="77777777" w:rsidR="00794C8F" w:rsidRPr="002E3ED0" w:rsidRDefault="00794C8F" w:rsidP="00875014">
      <w:pPr>
        <w:pStyle w:val="Heading2"/>
        <w:rPr>
          <w:color w:val="auto"/>
        </w:rPr>
      </w:pPr>
      <w:bookmarkStart w:id="23" w:name="_Toc235558835"/>
      <w:bookmarkStart w:id="24" w:name="_Toc236236108"/>
      <w:bookmarkStart w:id="25" w:name="_Toc238751483"/>
      <w:r w:rsidRPr="002E3ED0">
        <w:rPr>
          <w:color w:val="auto"/>
        </w:rPr>
        <w:t>Chapter Overview</w:t>
      </w:r>
      <w:bookmarkEnd w:id="23"/>
      <w:bookmarkEnd w:id="24"/>
      <w:bookmarkEnd w:id="25"/>
    </w:p>
    <w:p w14:paraId="4A6ACCF6" w14:textId="77777777" w:rsidR="00794C8F" w:rsidRPr="002E3ED0" w:rsidRDefault="00875014" w:rsidP="00875014">
      <w:pPr>
        <w:widowControl w:val="0"/>
        <w:spacing w:line="360" w:lineRule="auto"/>
        <w:ind w:firstLine="720"/>
        <w:jc w:val="both"/>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The methodology employed in the present study is discussed in this chapter. The study sets out to systematically review the academic and grey literature to better understand the factors that impact customers' trust and security perception of UK digital banking. In this research, no primary data are collected from the customers; hence, it relies on a Systematic Literature Review (SLR) to identify, select, evaluate and synthesize the published research. The chapter is used to describe the research philosophy, approach, design, search strategy, study population and data extraction process. They ensure that the review is transparent, organised, reliable and gives a complete picture of customer trust and perception of security in UK digital banking (Saunders, Lewis and Thornhill, 2019; Creswell and Creswell, 2018).</w:t>
      </w:r>
    </w:p>
    <w:p w14:paraId="7E45E556" w14:textId="77777777" w:rsidR="00794C8F" w:rsidRPr="002E3ED0" w:rsidRDefault="00794C8F" w:rsidP="00875014">
      <w:pPr>
        <w:pStyle w:val="isselectedend"/>
        <w:widowControl w:val="0"/>
        <w:spacing w:before="0" w:beforeAutospacing="0" w:after="0" w:afterAutospacing="0" w:line="360" w:lineRule="auto"/>
        <w:jc w:val="center"/>
      </w:pPr>
      <w:r w:rsidRPr="002E3ED0">
        <w:rPr>
          <w:noProof/>
        </w:rPr>
        <w:drawing>
          <wp:inline distT="0" distB="0" distL="0" distR="0" wp14:anchorId="0679C7BC" wp14:editId="394E70B4">
            <wp:extent cx="4497705" cy="3168650"/>
            <wp:effectExtent l="0" t="0" r="0" b="0"/>
            <wp:docPr id="7852730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97705" cy="3168650"/>
                    </a:xfrm>
                    <a:prstGeom prst="rect">
                      <a:avLst/>
                    </a:prstGeom>
                    <a:noFill/>
                    <a:ln>
                      <a:noFill/>
                    </a:ln>
                  </pic:spPr>
                </pic:pic>
              </a:graphicData>
            </a:graphic>
          </wp:inline>
        </w:drawing>
      </w:r>
    </w:p>
    <w:p w14:paraId="5A7C0AA1" w14:textId="77777777" w:rsidR="00794C8F" w:rsidRPr="002E3ED0" w:rsidRDefault="00794C8F" w:rsidP="00875014">
      <w:pPr>
        <w:pStyle w:val="isselectedend"/>
        <w:widowControl w:val="0"/>
        <w:spacing w:before="0" w:beforeAutospacing="0" w:after="0" w:afterAutospacing="0" w:line="360" w:lineRule="auto"/>
        <w:jc w:val="center"/>
        <w:rPr>
          <w:b/>
          <w:bCs/>
        </w:rPr>
      </w:pPr>
      <w:r w:rsidRPr="002E3ED0">
        <w:rPr>
          <w:b/>
          <w:bCs/>
        </w:rPr>
        <w:t>Figure 2: Research Onion</w:t>
      </w:r>
    </w:p>
    <w:p w14:paraId="63B09C07" w14:textId="77777777" w:rsidR="00794C8F" w:rsidRPr="002E3ED0" w:rsidRDefault="00794C8F" w:rsidP="00875014">
      <w:pPr>
        <w:pStyle w:val="isselectedend"/>
        <w:widowControl w:val="0"/>
        <w:spacing w:before="0" w:beforeAutospacing="0" w:after="0" w:afterAutospacing="0" w:line="360" w:lineRule="auto"/>
        <w:jc w:val="center"/>
        <w:rPr>
          <w:b/>
          <w:bCs/>
        </w:rPr>
      </w:pPr>
      <w:r w:rsidRPr="002E3ED0">
        <w:rPr>
          <w:b/>
          <w:bCs/>
        </w:rPr>
        <w:t>(Saunders et al., 2019)</w:t>
      </w:r>
    </w:p>
    <w:p w14:paraId="095E94B5" w14:textId="77777777" w:rsidR="001068C4" w:rsidRPr="002E3ED0" w:rsidRDefault="00000000" w:rsidP="00491F46">
      <w:pPr>
        <w:spacing w:line="360" w:lineRule="auto"/>
        <w:ind w:firstLine="720"/>
        <w:jc w:val="both"/>
        <w:rPr>
          <w:rFonts w:ascii="Times New Roman" w:hAnsi="Times New Roman" w:cs="Times New Roman"/>
        </w:rPr>
      </w:pPr>
      <w:r w:rsidRPr="002E3ED0">
        <w:rPr>
          <w:rFonts w:ascii="Times New Roman" w:hAnsi="Times New Roman" w:cs="Times New Roman"/>
          <w:sz w:val="24"/>
        </w:rPr>
        <w:t xml:space="preserve">As shown in Figure 2, the research onion frames methodological choices as a series of nested decisions, moving from the outer layer (philosophy) through approach, methodological choice, strategy and time horizon, to the innermost layer of data collection and analysis techniques. Working through these layers systematically, rather than treating them as a checklist, ensures that later decisions — for example, the choice of thematic analysis as the technique used in Chapter Four — remain consistent with the interpretivist assumptions adopted at the outer layer, rather than </w:t>
      </w:r>
      <w:r w:rsidRPr="002E3ED0">
        <w:rPr>
          <w:rFonts w:ascii="Times New Roman" w:hAnsi="Times New Roman" w:cs="Times New Roman"/>
          <w:sz w:val="24"/>
        </w:rPr>
        <w:lastRenderedPageBreak/>
        <w:t>being selected on convenience grounds. Each layer of the onion is addressed in turn in the sections that follow.</w:t>
      </w:r>
    </w:p>
    <w:p w14:paraId="0C7BA745" w14:textId="77777777" w:rsidR="00794C8F" w:rsidRPr="002E3ED0" w:rsidRDefault="00794C8F" w:rsidP="00875014">
      <w:pPr>
        <w:pStyle w:val="Heading2"/>
        <w:rPr>
          <w:bCs w:val="0"/>
          <w:color w:val="auto"/>
        </w:rPr>
      </w:pPr>
      <w:bookmarkStart w:id="26" w:name="_Toc235558836"/>
      <w:bookmarkStart w:id="27" w:name="_Toc236236109"/>
      <w:bookmarkStart w:id="28" w:name="_Toc238751484"/>
      <w:r w:rsidRPr="002E3ED0">
        <w:rPr>
          <w:color w:val="auto"/>
        </w:rPr>
        <w:t>Research Philosophy</w:t>
      </w:r>
      <w:bookmarkEnd w:id="26"/>
      <w:bookmarkEnd w:id="27"/>
      <w:bookmarkEnd w:id="28"/>
    </w:p>
    <w:p w14:paraId="7ECCA86D" w14:textId="77777777" w:rsidR="00875014" w:rsidRPr="002E3ED0" w:rsidRDefault="00875014" w:rsidP="00875014">
      <w:pPr>
        <w:pStyle w:val="isselectedend"/>
        <w:widowControl w:val="0"/>
        <w:spacing w:before="0" w:beforeAutospacing="0" w:after="0" w:afterAutospacing="0" w:line="360" w:lineRule="auto"/>
        <w:ind w:firstLine="720"/>
        <w:jc w:val="both"/>
      </w:pPr>
      <w:r w:rsidRPr="002E3ED0">
        <w:t>Research philosophy is the beliefs, values, or suppositions which inform the generation of knowledge and the interpretation of data in the research process (Saunders, Lewis and Thornhill, 2019). There are four dominant philosophies: positivism, interpretivism, realism, and pragmatism, which are dependent on the type of research problem and evidence being analyzed (Bryman, 2016).</w:t>
      </w:r>
    </w:p>
    <w:p w14:paraId="0C665DCE" w14:textId="77777777" w:rsidR="00875014" w:rsidRPr="002E3ED0" w:rsidRDefault="00526150" w:rsidP="00875014">
      <w:pPr>
        <w:pStyle w:val="isselectedend"/>
        <w:widowControl w:val="0"/>
        <w:spacing w:before="0" w:beforeAutospacing="0" w:after="0" w:afterAutospacing="0" w:line="360" w:lineRule="auto"/>
        <w:ind w:firstLine="720"/>
        <w:jc w:val="both"/>
      </w:pPr>
      <w:r w:rsidRPr="002E3ED0">
        <w:t>For this review, interpretivism was chosen because trust is not a measurable object but a subjective feeling that varies by person, context, and experience. This means that understanding how researchers have interpreted trust in different studies is more valuable than trying to measure trust as a single objective number. Technological, behavioural and regulatory factors are all important to trust but may be understood differently by researchers, depending on their theoretical approaches and research contexts. Interpretivism allows the researcher to explore the various perspectives and construct a holistic understanding of the situation and not just one objective reality (Tamminen and Poucher, 2020; Greenfield and Greener, 2016).</w:t>
      </w:r>
    </w:p>
    <w:p w14:paraId="4E295338" w14:textId="77777777" w:rsidR="00794C8F" w:rsidRPr="002E3ED0" w:rsidRDefault="00875014" w:rsidP="00875014">
      <w:pPr>
        <w:pStyle w:val="isselectedend"/>
        <w:widowControl w:val="0"/>
        <w:spacing w:before="0" w:beforeAutospacing="0" w:after="0" w:afterAutospacing="0" w:line="360" w:lineRule="auto"/>
        <w:ind w:firstLine="720"/>
        <w:jc w:val="both"/>
      </w:pPr>
      <w:r w:rsidRPr="002E3ED0">
        <w:t>Positivism is widely used in survey-based digital banking studies, but it is not suitable as this research is not based on primary quantitative data. Rather, it draws on published research to gain insight into previous research that helps to shed light on customer trust and perceived security. Therefore, interpretivism is the most suitable philosophical approach to fulfil the research aim (Creswell et al., 2017; Saunders, Lewis and Thornhill, 2019).</w:t>
      </w:r>
    </w:p>
    <w:p w14:paraId="226A6BB4" w14:textId="77777777" w:rsidR="00794C8F" w:rsidRPr="002E3ED0" w:rsidRDefault="00794C8F" w:rsidP="00875014">
      <w:pPr>
        <w:pStyle w:val="Heading2"/>
        <w:rPr>
          <w:color w:val="auto"/>
        </w:rPr>
      </w:pPr>
      <w:bookmarkStart w:id="29" w:name="_Toc235558837"/>
      <w:bookmarkStart w:id="30" w:name="_Toc236236110"/>
      <w:bookmarkStart w:id="31" w:name="_Toc238751485"/>
      <w:r w:rsidRPr="002E3ED0">
        <w:rPr>
          <w:color w:val="auto"/>
        </w:rPr>
        <w:t>Research Approach</w:t>
      </w:r>
      <w:bookmarkEnd w:id="29"/>
      <w:bookmarkEnd w:id="30"/>
      <w:bookmarkEnd w:id="31"/>
    </w:p>
    <w:p w14:paraId="67B2A27E" w14:textId="77777777" w:rsidR="00875014" w:rsidRPr="002E3ED0" w:rsidRDefault="00875014" w:rsidP="00875014">
      <w:pPr>
        <w:pStyle w:val="isselectedend"/>
        <w:widowControl w:val="0"/>
        <w:spacing w:before="0" w:beforeAutospacing="0" w:after="0" w:afterAutospacing="0" w:line="360" w:lineRule="auto"/>
        <w:ind w:firstLine="720"/>
        <w:jc w:val="both"/>
      </w:pPr>
      <w:r w:rsidRPr="002E3ED0">
        <w:t>The research approach is the way in which knowledge is generated from the available evidence. There are two main methods: inductive, in which the theory is constructed from observations, and deductive, where it is an assessment of a theory based on the available evidence (Casula, Rangarajan and Shields, 2021).</w:t>
      </w:r>
    </w:p>
    <w:p w14:paraId="4B10AE43" w14:textId="77777777" w:rsidR="00875014" w:rsidRPr="002E3ED0" w:rsidRDefault="00875014" w:rsidP="00875014">
      <w:pPr>
        <w:pStyle w:val="isselectedend"/>
        <w:widowControl w:val="0"/>
        <w:spacing w:before="0" w:beforeAutospacing="0" w:after="0" w:afterAutospacing="0" w:line="360" w:lineRule="auto"/>
        <w:ind w:firstLine="720"/>
        <w:jc w:val="both"/>
      </w:pPr>
      <w:r w:rsidRPr="002E3ED0">
        <w:t>The study has adopted a deductive approach for the guidance of the study with the theories and research already conducted on customer trust and digital banking. The review is also supported by the technology acceptance model (TAM) as the theoretical basis for studying the effect of technical factors, behavioural factors, and regulatory factors that have been found in prior studies (Davis, 1989; Wilson and Tam, 2026).</w:t>
      </w:r>
    </w:p>
    <w:p w14:paraId="59FA2F28" w14:textId="77777777" w:rsidR="00794C8F" w:rsidRPr="002E3ED0" w:rsidRDefault="00875014" w:rsidP="00875014">
      <w:pPr>
        <w:pStyle w:val="isselectedend"/>
        <w:widowControl w:val="0"/>
        <w:spacing w:before="0" w:beforeAutospacing="0" w:after="0" w:afterAutospacing="0" w:line="360" w:lineRule="auto"/>
        <w:ind w:firstLine="720"/>
        <w:jc w:val="both"/>
      </w:pPr>
      <w:r w:rsidRPr="002E3ED0">
        <w:t xml:space="preserve">A deductive approach is suitable since the research is to appraise and combine existing </w:t>
      </w:r>
      <w:r w:rsidRPr="002E3ED0">
        <w:lastRenderedPageBreak/>
        <w:t>evidence instead of building a new theory. The literature selected is analysed using the predetermined research objectives, so that technological, behavioural and regulatory factors can be studied systematically. The structured process also helps clarify similarities, differences and gaps in research in the literature (Burke, 2018; Saunders, Lewis and Thornhill, 2019).</w:t>
      </w:r>
    </w:p>
    <w:p w14:paraId="6DF0042B" w14:textId="77777777" w:rsidR="00794C8F" w:rsidRPr="002E3ED0" w:rsidRDefault="00794C8F" w:rsidP="00875014">
      <w:pPr>
        <w:pStyle w:val="Heading2"/>
        <w:rPr>
          <w:color w:val="auto"/>
        </w:rPr>
      </w:pPr>
      <w:bookmarkStart w:id="32" w:name="_Toc235558838"/>
      <w:bookmarkStart w:id="33" w:name="_Toc236236111"/>
      <w:bookmarkStart w:id="34" w:name="_Toc238751486"/>
      <w:r w:rsidRPr="002E3ED0">
        <w:rPr>
          <w:color w:val="auto"/>
        </w:rPr>
        <w:t>Research Design and Strategy</w:t>
      </w:r>
      <w:bookmarkEnd w:id="32"/>
      <w:bookmarkEnd w:id="33"/>
      <w:bookmarkEnd w:id="34"/>
    </w:p>
    <w:p w14:paraId="2BDCE261" w14:textId="77777777" w:rsidR="00875014" w:rsidRPr="002E3ED0" w:rsidRDefault="00875014" w:rsidP="00875014">
      <w:pPr>
        <w:pStyle w:val="isselectedend"/>
        <w:widowControl w:val="0"/>
        <w:spacing w:before="0" w:beforeAutospacing="0" w:after="0" w:afterAutospacing="0" w:line="360" w:lineRule="auto"/>
        <w:ind w:firstLine="720"/>
        <w:jc w:val="both"/>
      </w:pPr>
      <w:r w:rsidRPr="002E3ED0">
        <w:t>The overall structure that guides the addressing of the research questions is the research design (Creswell and Creswell, 2018). Considering that this study does not involve data collection, it takes a qualitative Systematic Literature Review (SLR) approach. The aim of an SLR is to identify, select, appraise and synthesize relevant studies by applying a structured approach that has a process with predefined criteria, which helps to lower researcher bias and increase transparency (Pickard, 2013; Walliman, 2018).</w:t>
      </w:r>
    </w:p>
    <w:p w14:paraId="53E56759" w14:textId="77777777" w:rsidR="00875014" w:rsidRPr="002E3ED0" w:rsidRDefault="00875014" w:rsidP="00875014">
      <w:pPr>
        <w:pStyle w:val="isselectedend"/>
        <w:widowControl w:val="0"/>
        <w:spacing w:before="0" w:beforeAutospacing="0" w:after="0" w:afterAutospacing="0" w:line="360" w:lineRule="auto"/>
        <w:ind w:firstLine="720"/>
        <w:jc w:val="both"/>
      </w:pPr>
      <w:r w:rsidRPr="002E3ED0">
        <w:t>The qualitative design is suitable as the study aims to understand how customer trust and customer security perception have been discussed in previous research. This covers peer-reviewed journal articles and grey literature from organisations including UK Finance, the Financial Conduct Authority (FCA), the Payment Systems Regulator (PSR) and the Bank of England. Academic and industry sources will be used to gain a comprehensive understanding of customer trust within the UK digital banking environment (Bryman, 2016; Robson and McCartan, 2016).</w:t>
      </w:r>
    </w:p>
    <w:p w14:paraId="22BA9F72" w14:textId="77777777" w:rsidR="00794C8F" w:rsidRPr="002E3ED0" w:rsidRDefault="00794C8F" w:rsidP="00875014">
      <w:pPr>
        <w:pStyle w:val="Heading2"/>
        <w:rPr>
          <w:color w:val="auto"/>
        </w:rPr>
      </w:pPr>
      <w:bookmarkStart w:id="35" w:name="_Toc235558839"/>
      <w:bookmarkStart w:id="36" w:name="_Toc236236112"/>
      <w:bookmarkStart w:id="37" w:name="_Toc238751487"/>
      <w:r w:rsidRPr="002E3ED0">
        <w:rPr>
          <w:color w:val="auto"/>
        </w:rPr>
        <w:t>Search Strategy</w:t>
      </w:r>
      <w:bookmarkEnd w:id="35"/>
      <w:bookmarkEnd w:id="36"/>
      <w:bookmarkEnd w:id="37"/>
    </w:p>
    <w:p w14:paraId="6C839148" w14:textId="77777777" w:rsidR="00875014" w:rsidRPr="002E3ED0" w:rsidRDefault="00875014" w:rsidP="00875014">
      <w:pPr>
        <w:pStyle w:val="ds-markdown-paragraph"/>
        <w:widowControl w:val="0"/>
        <w:shd w:val="clear" w:color="auto" w:fill="FFFFFF"/>
        <w:spacing w:before="0" w:beforeAutospacing="0" w:after="0" w:afterAutospacing="0" w:line="360" w:lineRule="auto"/>
        <w:ind w:firstLine="720"/>
        <w:jc w:val="both"/>
        <w:rPr>
          <w:rStyle w:val="Strong"/>
          <w:b w:val="0"/>
          <w:bCs w:val="0"/>
        </w:rPr>
      </w:pPr>
      <w:r w:rsidRPr="002E3ED0">
        <w:rPr>
          <w:rStyle w:val="Strong"/>
          <w:b w:val="0"/>
          <w:bCs w:val="0"/>
        </w:rPr>
        <w:t>In order to ensure that the right studies are identified and that the review can be replicated by future researchers, there needs to be a clear search strategy (Pickard, 2013). This study is conducted by a systematic search process that includes several databases of academic literature and a variety of grey literature sources.</w:t>
      </w:r>
    </w:p>
    <w:p w14:paraId="0E697231" w14:textId="77777777" w:rsidR="00875014" w:rsidRPr="002E3ED0" w:rsidRDefault="00875014" w:rsidP="00875014">
      <w:pPr>
        <w:pStyle w:val="ds-markdown-paragraph"/>
        <w:widowControl w:val="0"/>
        <w:shd w:val="clear" w:color="auto" w:fill="FFFFFF"/>
        <w:spacing w:before="0" w:beforeAutospacing="0" w:after="0" w:afterAutospacing="0" w:line="360" w:lineRule="auto"/>
        <w:ind w:firstLine="720"/>
        <w:jc w:val="both"/>
        <w:rPr>
          <w:rStyle w:val="Strong"/>
          <w:b w:val="0"/>
          <w:bCs w:val="0"/>
        </w:rPr>
      </w:pPr>
      <w:r w:rsidRPr="002E3ED0">
        <w:rPr>
          <w:rStyle w:val="Strong"/>
          <w:b w:val="0"/>
          <w:bCs w:val="0"/>
        </w:rPr>
        <w:t>The academic databases are Scopus, Web of Science, Google Scholar and ScienceDirect due to the presence of high-quality peer-reviewed research on digital banking, customer trust, cybersecurity, financial technology and information systems. Grey literature is gathered from established organisations including the Payment Systems Regulator (PSR), the Financial Conduct Authority (FCA), the Bank of England and industry reports from organisations like FICO. The use of grey literature will help to ensure that the latest developments in policy and evidence from industry are included in the review (Bryman, 2016; Greenfield and Greener, 2016).</w:t>
      </w:r>
    </w:p>
    <w:p w14:paraId="7E4E7F2A" w14:textId="77777777" w:rsidR="00794C8F" w:rsidRPr="002E3ED0" w:rsidRDefault="00875014" w:rsidP="00875014">
      <w:pPr>
        <w:pStyle w:val="ds-markdown-paragraph"/>
        <w:widowControl w:val="0"/>
        <w:shd w:val="clear" w:color="auto" w:fill="FFFFFF"/>
        <w:spacing w:before="0" w:beforeAutospacing="0" w:after="0" w:afterAutospacing="0" w:line="360" w:lineRule="auto"/>
        <w:ind w:firstLine="720"/>
        <w:jc w:val="both"/>
        <w:rPr>
          <w:b/>
          <w:bCs/>
        </w:rPr>
      </w:pPr>
      <w:r w:rsidRPr="002E3ED0">
        <w:rPr>
          <w:rStyle w:val="Strong"/>
          <w:b w:val="0"/>
          <w:bCs w:val="0"/>
        </w:rPr>
        <w:t>The search entails applying combinations of words joined by Boolean operators (AND, OR). The top search phrases are:</w:t>
      </w:r>
    </w:p>
    <w:p w14:paraId="24716565" w14:textId="77777777" w:rsidR="00794C8F" w:rsidRPr="002E3ED0" w:rsidRDefault="00794C8F" w:rsidP="00875014">
      <w:pPr>
        <w:pStyle w:val="NormalWeb"/>
        <w:widowControl w:val="0"/>
        <w:numPr>
          <w:ilvl w:val="0"/>
          <w:numId w:val="9"/>
        </w:numPr>
        <w:spacing w:before="0" w:beforeAutospacing="0" w:after="0" w:afterAutospacing="0" w:line="360" w:lineRule="auto"/>
        <w:ind w:left="630"/>
        <w:jc w:val="both"/>
        <w:rPr>
          <w:rStyle w:val="Strong"/>
          <w:b w:val="0"/>
          <w:bCs w:val="0"/>
        </w:rPr>
      </w:pPr>
      <w:r w:rsidRPr="002E3ED0">
        <w:rPr>
          <w:rStyle w:val="Strong"/>
        </w:rPr>
        <w:lastRenderedPageBreak/>
        <w:t>Population terms</w:t>
      </w:r>
      <w:r w:rsidRPr="002E3ED0">
        <w:rPr>
          <w:rStyle w:val="Strong"/>
          <w:b w:val="0"/>
          <w:bCs w:val="0"/>
        </w:rPr>
        <w:t xml:space="preserve">: </w:t>
      </w:r>
      <w:r w:rsidRPr="002E3ED0">
        <w:rPr>
          <w:rStyle w:val="Strong"/>
          <w:b w:val="0"/>
          <w:bCs w:val="0"/>
          <w:i/>
          <w:iCs/>
        </w:rPr>
        <w:t>"UK customers" OR "British consumers" OR "United Kingdom" OR "UK banking customers"</w:t>
      </w:r>
    </w:p>
    <w:p w14:paraId="2D4BA657" w14:textId="77777777" w:rsidR="00794C8F" w:rsidRPr="002E3ED0" w:rsidRDefault="00794C8F" w:rsidP="00875014">
      <w:pPr>
        <w:pStyle w:val="NormalWeb"/>
        <w:widowControl w:val="0"/>
        <w:numPr>
          <w:ilvl w:val="0"/>
          <w:numId w:val="9"/>
        </w:numPr>
        <w:spacing w:before="0" w:beforeAutospacing="0" w:after="0" w:afterAutospacing="0" w:line="360" w:lineRule="auto"/>
        <w:ind w:left="630"/>
        <w:jc w:val="both"/>
        <w:rPr>
          <w:rStyle w:val="Strong"/>
          <w:b w:val="0"/>
          <w:bCs w:val="0"/>
        </w:rPr>
      </w:pPr>
      <w:r w:rsidRPr="002E3ED0">
        <w:rPr>
          <w:rStyle w:val="Strong"/>
        </w:rPr>
        <w:t>Concept terms</w:t>
      </w:r>
      <w:r w:rsidRPr="002E3ED0">
        <w:rPr>
          <w:rStyle w:val="Strong"/>
          <w:b w:val="0"/>
          <w:bCs w:val="0"/>
        </w:rPr>
        <w:t>: "</w:t>
      </w:r>
      <w:r w:rsidRPr="002E3ED0">
        <w:rPr>
          <w:rStyle w:val="Strong"/>
          <w:b w:val="0"/>
          <w:bCs w:val="0"/>
          <w:i/>
          <w:iCs/>
        </w:rPr>
        <w:t>digital banking" OR "online banking" OR "mobile banking" OR "internet banking" OR "Open Banking"</w:t>
      </w:r>
    </w:p>
    <w:p w14:paraId="4A39187E" w14:textId="77777777" w:rsidR="00794C8F" w:rsidRPr="002E3ED0" w:rsidRDefault="00794C8F" w:rsidP="00875014">
      <w:pPr>
        <w:pStyle w:val="NormalWeb"/>
        <w:widowControl w:val="0"/>
        <w:numPr>
          <w:ilvl w:val="0"/>
          <w:numId w:val="9"/>
        </w:numPr>
        <w:spacing w:before="0" w:beforeAutospacing="0" w:after="0" w:afterAutospacing="0" w:line="360" w:lineRule="auto"/>
        <w:ind w:left="630"/>
        <w:jc w:val="both"/>
        <w:rPr>
          <w:rStyle w:val="Strong"/>
          <w:b w:val="0"/>
          <w:bCs w:val="0"/>
        </w:rPr>
      </w:pPr>
      <w:r w:rsidRPr="002E3ED0">
        <w:rPr>
          <w:rStyle w:val="Strong"/>
        </w:rPr>
        <w:t>Context terms</w:t>
      </w:r>
      <w:r w:rsidRPr="002E3ED0">
        <w:rPr>
          <w:rStyle w:val="Strong"/>
          <w:b w:val="0"/>
          <w:bCs w:val="0"/>
        </w:rPr>
        <w:t xml:space="preserve">: </w:t>
      </w:r>
      <w:r w:rsidRPr="002E3ED0">
        <w:rPr>
          <w:rStyle w:val="Strong"/>
          <w:b w:val="0"/>
          <w:bCs w:val="0"/>
          <w:i/>
          <w:iCs/>
        </w:rPr>
        <w:t>"customer trust" OR "consumer trust" OR "security perception" OR "perceived security" OR "fraud concerns" OR "IT failures" OR "operational resilience"</w:t>
      </w:r>
    </w:p>
    <w:p w14:paraId="0B6D7F28" w14:textId="77777777" w:rsidR="00794C8F" w:rsidRPr="002E3ED0" w:rsidRDefault="00794C8F" w:rsidP="00875014">
      <w:pPr>
        <w:pStyle w:val="NormalWeb"/>
        <w:widowControl w:val="0"/>
        <w:numPr>
          <w:ilvl w:val="0"/>
          <w:numId w:val="9"/>
        </w:numPr>
        <w:spacing w:before="0" w:beforeAutospacing="0" w:after="0" w:afterAutospacing="0" w:line="360" w:lineRule="auto"/>
        <w:ind w:left="630"/>
        <w:jc w:val="both"/>
        <w:rPr>
          <w:rStyle w:val="Strong"/>
          <w:b w:val="0"/>
          <w:bCs w:val="0"/>
        </w:rPr>
      </w:pPr>
      <w:r w:rsidRPr="002E3ED0">
        <w:rPr>
          <w:rStyle w:val="Strong"/>
        </w:rPr>
        <w:t>Regulatory terms</w:t>
      </w:r>
      <w:r w:rsidRPr="002E3ED0">
        <w:rPr>
          <w:rStyle w:val="Strong"/>
          <w:b w:val="0"/>
          <w:bCs w:val="0"/>
        </w:rPr>
        <w:t>: "</w:t>
      </w:r>
      <w:r w:rsidRPr="002E3ED0">
        <w:rPr>
          <w:rStyle w:val="Strong"/>
          <w:b w:val="0"/>
          <w:bCs w:val="0"/>
          <w:i/>
          <w:iCs/>
        </w:rPr>
        <w:t>PSD2" OR "GDPR" OR "DORA" OR "regulatory framework" OR "Payment Systems Regulator"</w:t>
      </w:r>
    </w:p>
    <w:p w14:paraId="02B3CBCB" w14:textId="77777777" w:rsidR="00875014" w:rsidRPr="002E3ED0" w:rsidRDefault="00875014" w:rsidP="00875014">
      <w:pPr>
        <w:pStyle w:val="NormalWeb"/>
        <w:widowControl w:val="0"/>
        <w:spacing w:before="0" w:beforeAutospacing="0" w:after="0" w:afterAutospacing="0" w:line="360" w:lineRule="auto"/>
        <w:ind w:firstLine="720"/>
        <w:jc w:val="both"/>
      </w:pPr>
      <w:r w:rsidRPr="002E3ED0">
        <w:t>Combining many different keywords with each search helps find relevant studies and decreases the chances of missing out on important studies (Walliman, 2018; Tan, 2018).</w:t>
      </w:r>
    </w:p>
    <w:p w14:paraId="469DEF4E" w14:textId="77777777" w:rsidR="00794C8F" w:rsidRPr="002E3ED0" w:rsidRDefault="00875014" w:rsidP="00875014">
      <w:pPr>
        <w:pStyle w:val="NormalWeb"/>
        <w:widowControl w:val="0"/>
        <w:spacing w:before="0" w:beforeAutospacing="0" w:after="0" w:afterAutospacing="0" w:line="360" w:lineRule="auto"/>
        <w:ind w:firstLine="720"/>
        <w:jc w:val="both"/>
      </w:pPr>
      <w:r w:rsidRPr="002E3ED0">
        <w:t xml:space="preserve">The selection of the literature is reported following the Preferred Reporting Items for Systematic Reviews and Meta-Analyses (PRISMA) guidelines (Figure 3). Duplicates are identified in records found through database and grey literature searches, and then titles, abstracts, and full-text records are evaluated against the pre-established inclusion and exclusion criteria. Studies eligible for inclusion are then quality appraised and added to the final qualitative synthesis, which provides transparency, consistency, and reproducibility in the review process (Polit and Beck, 2010).      </w:t>
      </w:r>
    </w:p>
    <w:p w14:paraId="33F264E5" w14:textId="77777777" w:rsidR="00794C8F" w:rsidRPr="002E3ED0" w:rsidRDefault="00F51FEB" w:rsidP="00875014">
      <w:pPr>
        <w:pStyle w:val="isselectedend"/>
        <w:widowControl w:val="0"/>
        <w:spacing w:before="0" w:beforeAutospacing="0" w:after="0" w:afterAutospacing="0" w:line="360" w:lineRule="auto"/>
        <w:jc w:val="center"/>
      </w:pPr>
      <w:r w:rsidRPr="002E3ED0">
        <w:rPr>
          <w:noProof/>
        </w:rPr>
        <w:lastRenderedPageBreak/>
        <w:drawing>
          <wp:inline distT="0" distB="0" distL="0" distR="0" wp14:anchorId="476F027B" wp14:editId="24D953AC">
            <wp:extent cx="5486400" cy="8218805"/>
            <wp:effectExtent l="0" t="0" r="0" b="0"/>
            <wp:docPr id="26837303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8218805"/>
                    </a:xfrm>
                    <a:prstGeom prst="rect">
                      <a:avLst/>
                    </a:prstGeom>
                    <a:noFill/>
                    <a:ln>
                      <a:noFill/>
                    </a:ln>
                  </pic:spPr>
                </pic:pic>
              </a:graphicData>
            </a:graphic>
          </wp:inline>
        </w:drawing>
      </w:r>
    </w:p>
    <w:p w14:paraId="751582B3" w14:textId="77777777" w:rsidR="00794C8F" w:rsidRPr="002E3ED0" w:rsidRDefault="00794C8F" w:rsidP="00875014">
      <w:pPr>
        <w:pStyle w:val="isselectedend"/>
        <w:widowControl w:val="0"/>
        <w:spacing w:before="0" w:beforeAutospacing="0" w:after="0" w:afterAutospacing="0" w:line="360" w:lineRule="auto"/>
        <w:jc w:val="center"/>
        <w:rPr>
          <w:b/>
          <w:bCs/>
        </w:rPr>
      </w:pPr>
      <w:r w:rsidRPr="002E3ED0">
        <w:rPr>
          <w:b/>
          <w:bCs/>
        </w:rPr>
        <w:lastRenderedPageBreak/>
        <w:t>Figure 3: PRISMA Flow Diagram</w:t>
      </w:r>
    </w:p>
    <w:p w14:paraId="5544013D" w14:textId="77777777" w:rsidR="00794C8F" w:rsidRPr="002E3ED0" w:rsidRDefault="00794C8F" w:rsidP="00875014">
      <w:pPr>
        <w:pStyle w:val="isselectedend"/>
        <w:widowControl w:val="0"/>
        <w:spacing w:before="0" w:beforeAutospacing="0" w:after="0" w:afterAutospacing="0" w:line="360" w:lineRule="auto"/>
        <w:jc w:val="center"/>
        <w:rPr>
          <w:b/>
          <w:bCs/>
        </w:rPr>
      </w:pPr>
      <w:r w:rsidRPr="002E3ED0">
        <w:rPr>
          <w:b/>
          <w:bCs/>
        </w:rPr>
        <w:t>(Made by Author)</w:t>
      </w:r>
    </w:p>
    <w:p w14:paraId="2CF076E0" w14:textId="77777777" w:rsidR="001068C4" w:rsidRPr="002E3ED0" w:rsidRDefault="00000000" w:rsidP="00491F46">
      <w:pPr>
        <w:spacing w:line="360" w:lineRule="auto"/>
        <w:ind w:firstLine="720"/>
        <w:jc w:val="both"/>
        <w:rPr>
          <w:rFonts w:ascii="Times New Roman" w:hAnsi="Times New Roman" w:cs="Times New Roman"/>
        </w:rPr>
      </w:pPr>
      <w:r w:rsidRPr="002E3ED0">
        <w:rPr>
          <w:rFonts w:ascii="Times New Roman" w:hAnsi="Times New Roman" w:cs="Times New Roman"/>
          <w:sz w:val="24"/>
        </w:rPr>
        <w:t>Figure 3 reports this process in full. The initial database and grey-literature searches returned 628 records (Scopus, n = 198; Web of Science, n = 174; Google Scholar, n = 156; ScienceDirect, n = 60; Business Source Complete, n = 40; plus 74 additional records from UK Finance, the FCA/PSR and the Bank of England). After 196 duplicates were removed, 432 records were screened by title and abstract, of which 307 were excluded — chiefly for not relating to digital banking trust or security (n = 128), lacking a UK or comparable developed-market focus (n = 72), or not addressing customer perception or behaviour (n = 63). Of the 125 full-text articles assessed for eligibility, 85 were excluded, most commonly for being purely theoretical with no empirical data (n = 28) or for being opinion pieces or non-peer-reviewed sources (n = 22). The remaining 40 studies underwent quality appraisal (see Section 3.8), from which 15 were removed for not meeting the quality criteria on methodology, data quality or relevance, leaving the final sample of 25 studies (20 peer-reviewed journal articles, 4 industry or regulatory reports and 1 official dataset) that were carried forward into the thematic analysis reported in Chapter Four.</w:t>
      </w:r>
    </w:p>
    <w:p w14:paraId="200D3091" w14:textId="77777777" w:rsidR="00794C8F" w:rsidRPr="002E3ED0" w:rsidRDefault="00794C8F" w:rsidP="00875014">
      <w:pPr>
        <w:pStyle w:val="Heading2"/>
        <w:rPr>
          <w:bCs w:val="0"/>
          <w:color w:val="auto"/>
        </w:rPr>
      </w:pPr>
      <w:bookmarkStart w:id="38" w:name="_Toc235558840"/>
      <w:bookmarkStart w:id="39" w:name="_Toc236236113"/>
      <w:bookmarkStart w:id="40" w:name="_Toc238751488"/>
      <w:r w:rsidRPr="002E3ED0">
        <w:rPr>
          <w:color w:val="auto"/>
        </w:rPr>
        <w:t>Study Population</w:t>
      </w:r>
      <w:bookmarkEnd w:id="38"/>
      <w:bookmarkEnd w:id="39"/>
      <w:bookmarkEnd w:id="40"/>
    </w:p>
    <w:p w14:paraId="350CDF34" w14:textId="77777777" w:rsidR="00875014" w:rsidRPr="002E3ED0" w:rsidRDefault="00875014" w:rsidP="00875014">
      <w:pPr>
        <w:pStyle w:val="ds-markdown-paragraph"/>
        <w:widowControl w:val="0"/>
        <w:shd w:val="clear" w:color="auto" w:fill="FFFFFF"/>
        <w:spacing w:before="0" w:beforeAutospacing="0" w:after="0" w:afterAutospacing="0" w:line="360" w:lineRule="auto"/>
        <w:ind w:firstLine="720"/>
        <w:jc w:val="both"/>
        <w:rPr>
          <w:rStyle w:val="Strong"/>
          <w:b w:val="0"/>
        </w:rPr>
      </w:pPr>
      <w:r w:rsidRPr="002E3ED0">
        <w:rPr>
          <w:rStyle w:val="Strong"/>
          <w:b w:val="0"/>
        </w:rPr>
        <w:t>Since this research is based on a systematic literature review, the research population is made up of the published literature and not human participants (Polit and Beck, 2010). The review covers peer-reviewed journal articles, conference papers, review papers, Government papers, regulatory documents, and industry reports on topics relating to customer trust, perception of security, digital banking, Open Banking, cyber security, fraud prevention, and operational resilience in the UK banking sector (Robson and McCartan, 2016).</w:t>
      </w:r>
    </w:p>
    <w:p w14:paraId="49DB8E07" w14:textId="77777777" w:rsidR="00875014" w:rsidRPr="002E3ED0" w:rsidRDefault="00875014" w:rsidP="00875014">
      <w:pPr>
        <w:pStyle w:val="ds-markdown-paragraph"/>
        <w:widowControl w:val="0"/>
        <w:shd w:val="clear" w:color="auto" w:fill="FFFFFF"/>
        <w:spacing w:before="0" w:beforeAutospacing="0" w:after="0" w:afterAutospacing="0" w:line="360" w:lineRule="auto"/>
        <w:ind w:firstLine="720"/>
        <w:jc w:val="both"/>
        <w:rPr>
          <w:rStyle w:val="Strong"/>
          <w:b w:val="0"/>
        </w:rPr>
      </w:pPr>
      <w:r w:rsidRPr="002E3ED0">
        <w:rPr>
          <w:rStyle w:val="Strong"/>
          <w:b w:val="0"/>
        </w:rPr>
        <w:t>Samples of studies are designed using purposive sampling, where publications directly relevant to the study goals are selected. Predefined inclusion and exclusion criteria help ensure that the selected evidence remains on customer trust and perception of security of digital banking in the UK, and minimises the possibility of selection bias (Etikan et al., 2016; Van Haute, 2021).</w:t>
      </w:r>
    </w:p>
    <w:p w14:paraId="06E48EF8" w14:textId="77777777" w:rsidR="00794C8F" w:rsidRPr="002E3ED0" w:rsidRDefault="00875014" w:rsidP="00875014">
      <w:pPr>
        <w:pStyle w:val="ds-markdown-paragraph"/>
        <w:widowControl w:val="0"/>
        <w:shd w:val="clear" w:color="auto" w:fill="FFFFFF"/>
        <w:spacing w:before="0" w:beforeAutospacing="0" w:after="0" w:afterAutospacing="0" w:line="360" w:lineRule="auto"/>
        <w:ind w:firstLine="720"/>
        <w:jc w:val="both"/>
        <w:rPr>
          <w:rStyle w:val="Strong"/>
          <w:b w:val="0"/>
        </w:rPr>
      </w:pPr>
      <w:r w:rsidRPr="002E3ED0">
        <w:rPr>
          <w:rStyle w:val="Strong"/>
          <w:b w:val="0"/>
        </w:rPr>
        <w:t>No statistical sample size is required for writing an SLR, but a careful selection process is needed to make SLRs credible and reliable. Systematic identification, screening, and quality appraisal ensure that the final body of evidence will be able to capture knowledge comprehensively and serve as the solid foundation for the thematic analysis and conceptual framework that is developed in this study (according to Saunders, Lewis and Thornhill, 2019; Adler, 2022).</w:t>
      </w:r>
    </w:p>
    <w:tbl>
      <w:tblPr>
        <w:tblStyle w:val="PlainTable1"/>
        <w:tblW w:w="5000" w:type="pct"/>
        <w:tblLook w:val="04A0" w:firstRow="1" w:lastRow="0" w:firstColumn="1" w:lastColumn="0" w:noHBand="0" w:noVBand="1"/>
      </w:tblPr>
      <w:tblGrid>
        <w:gridCol w:w="1739"/>
        <w:gridCol w:w="3744"/>
        <w:gridCol w:w="3867"/>
      </w:tblGrid>
      <w:tr w:rsidR="00794C8F" w:rsidRPr="002E3ED0" w14:paraId="07F9EC38" w14:textId="77777777" w:rsidTr="0024005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0" w:type="pct"/>
            <w:hideMark/>
          </w:tcPr>
          <w:p w14:paraId="094D6D34" w14:textId="77777777" w:rsidR="00794C8F" w:rsidRPr="002E3ED0" w:rsidRDefault="00794C8F" w:rsidP="00875014">
            <w:pPr>
              <w:spacing w:line="360" w:lineRule="auto"/>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lastRenderedPageBreak/>
              <w:t>Criteria</w:t>
            </w:r>
          </w:p>
        </w:tc>
        <w:tc>
          <w:tcPr>
            <w:tcW w:w="2002" w:type="pct"/>
            <w:hideMark/>
          </w:tcPr>
          <w:p w14:paraId="7A6324B3" w14:textId="77777777" w:rsidR="00794C8F" w:rsidRPr="002E3ED0" w:rsidRDefault="00794C8F" w:rsidP="00875014">
            <w:pPr>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Inclusion</w:t>
            </w:r>
          </w:p>
        </w:tc>
        <w:tc>
          <w:tcPr>
            <w:tcW w:w="2068" w:type="pct"/>
            <w:hideMark/>
          </w:tcPr>
          <w:p w14:paraId="4883EBCD" w14:textId="77777777" w:rsidR="00794C8F" w:rsidRPr="002E3ED0" w:rsidRDefault="00794C8F" w:rsidP="00875014">
            <w:pPr>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Exclusion</w:t>
            </w:r>
          </w:p>
        </w:tc>
      </w:tr>
      <w:tr w:rsidR="00794C8F" w:rsidRPr="002E3ED0" w14:paraId="42C04BEB" w14:textId="77777777" w:rsidTr="002400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0" w:type="pct"/>
            <w:hideMark/>
          </w:tcPr>
          <w:p w14:paraId="19E7E488" w14:textId="77777777" w:rsidR="00794C8F" w:rsidRPr="002E3ED0" w:rsidRDefault="00794C8F" w:rsidP="00875014">
            <w:pPr>
              <w:spacing w:line="360" w:lineRule="auto"/>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Time Period</w:t>
            </w:r>
          </w:p>
        </w:tc>
        <w:tc>
          <w:tcPr>
            <w:tcW w:w="2002" w:type="pct"/>
            <w:hideMark/>
          </w:tcPr>
          <w:p w14:paraId="7036F41E" w14:textId="77777777" w:rsidR="00794C8F" w:rsidRPr="002E3ED0" w:rsidRDefault="00794C8F"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Studies published between 2020 and 2026</w:t>
            </w:r>
          </w:p>
        </w:tc>
        <w:tc>
          <w:tcPr>
            <w:tcW w:w="2068" w:type="pct"/>
            <w:hideMark/>
          </w:tcPr>
          <w:p w14:paraId="07402461" w14:textId="77777777" w:rsidR="00794C8F" w:rsidRPr="002E3ED0" w:rsidRDefault="00794C8F"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Studies published before 2020</w:t>
            </w:r>
          </w:p>
        </w:tc>
      </w:tr>
      <w:tr w:rsidR="00794C8F" w:rsidRPr="002E3ED0" w14:paraId="71F9FD7B" w14:textId="77777777" w:rsidTr="00240056">
        <w:tc>
          <w:tcPr>
            <w:cnfStyle w:val="001000000000" w:firstRow="0" w:lastRow="0" w:firstColumn="1" w:lastColumn="0" w:oddVBand="0" w:evenVBand="0" w:oddHBand="0" w:evenHBand="0" w:firstRowFirstColumn="0" w:firstRowLastColumn="0" w:lastRowFirstColumn="0" w:lastRowLastColumn="0"/>
            <w:tcW w:w="930" w:type="pct"/>
            <w:hideMark/>
          </w:tcPr>
          <w:p w14:paraId="662D566D" w14:textId="77777777" w:rsidR="00794C8F" w:rsidRPr="002E3ED0" w:rsidRDefault="00794C8F" w:rsidP="00875014">
            <w:pPr>
              <w:spacing w:line="360" w:lineRule="auto"/>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Geographic Focus</w:t>
            </w:r>
          </w:p>
        </w:tc>
        <w:tc>
          <w:tcPr>
            <w:tcW w:w="2002" w:type="pct"/>
            <w:hideMark/>
          </w:tcPr>
          <w:p w14:paraId="74598E8D" w14:textId="77777777" w:rsidR="00794C8F" w:rsidRPr="002E3ED0" w:rsidRDefault="00794C8F"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UK context (primary) or relevant international studies</w:t>
            </w:r>
          </w:p>
        </w:tc>
        <w:tc>
          <w:tcPr>
            <w:tcW w:w="2068" w:type="pct"/>
            <w:hideMark/>
          </w:tcPr>
          <w:p w14:paraId="2ABEBA33" w14:textId="77777777" w:rsidR="00794C8F" w:rsidRPr="002E3ED0" w:rsidRDefault="00794C8F"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Studies lacking UK focus or relevant international context</w:t>
            </w:r>
          </w:p>
        </w:tc>
      </w:tr>
      <w:tr w:rsidR="00794C8F" w:rsidRPr="002E3ED0" w14:paraId="2B0A5063" w14:textId="77777777" w:rsidTr="002400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0" w:type="pct"/>
            <w:hideMark/>
          </w:tcPr>
          <w:p w14:paraId="1E7E586A" w14:textId="77777777" w:rsidR="00794C8F" w:rsidRPr="002E3ED0" w:rsidRDefault="00794C8F" w:rsidP="00875014">
            <w:pPr>
              <w:spacing w:line="360" w:lineRule="auto"/>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Topic</w:t>
            </w:r>
          </w:p>
        </w:tc>
        <w:tc>
          <w:tcPr>
            <w:tcW w:w="2002" w:type="pct"/>
            <w:hideMark/>
          </w:tcPr>
          <w:p w14:paraId="70129061" w14:textId="77777777" w:rsidR="00794C8F" w:rsidRPr="002E3ED0" w:rsidRDefault="00794C8F"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Customer trust, security perception, digital banking, fraud, operational resilience</w:t>
            </w:r>
          </w:p>
        </w:tc>
        <w:tc>
          <w:tcPr>
            <w:tcW w:w="2068" w:type="pct"/>
            <w:hideMark/>
          </w:tcPr>
          <w:p w14:paraId="1339CA15" w14:textId="77777777" w:rsidR="00794C8F" w:rsidRPr="002E3ED0" w:rsidRDefault="00794C8F"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Studies examining technical aspects without customer perception considerations</w:t>
            </w:r>
          </w:p>
        </w:tc>
      </w:tr>
      <w:tr w:rsidR="00794C8F" w:rsidRPr="002E3ED0" w14:paraId="34C55989" w14:textId="77777777" w:rsidTr="00240056">
        <w:tc>
          <w:tcPr>
            <w:cnfStyle w:val="001000000000" w:firstRow="0" w:lastRow="0" w:firstColumn="1" w:lastColumn="0" w:oddVBand="0" w:evenVBand="0" w:oddHBand="0" w:evenHBand="0" w:firstRowFirstColumn="0" w:firstRowLastColumn="0" w:lastRowFirstColumn="0" w:lastRowLastColumn="0"/>
            <w:tcW w:w="930" w:type="pct"/>
            <w:hideMark/>
          </w:tcPr>
          <w:p w14:paraId="45BAA7C0" w14:textId="77777777" w:rsidR="00794C8F" w:rsidRPr="002E3ED0" w:rsidRDefault="00794C8F" w:rsidP="00875014">
            <w:pPr>
              <w:spacing w:line="360" w:lineRule="auto"/>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Study Type</w:t>
            </w:r>
          </w:p>
        </w:tc>
        <w:tc>
          <w:tcPr>
            <w:tcW w:w="2002" w:type="pct"/>
            <w:hideMark/>
          </w:tcPr>
          <w:p w14:paraId="24C25D06" w14:textId="77777777" w:rsidR="00794C8F" w:rsidRPr="002E3ED0" w:rsidRDefault="00794C8F"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Empirical studies (quantitative, qualitative, or mixed methods), grey literature</w:t>
            </w:r>
          </w:p>
        </w:tc>
        <w:tc>
          <w:tcPr>
            <w:tcW w:w="2068" w:type="pct"/>
            <w:hideMark/>
          </w:tcPr>
          <w:p w14:paraId="4F7774B6" w14:textId="77777777" w:rsidR="00794C8F" w:rsidRPr="002E3ED0" w:rsidRDefault="00794C8F"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Opinion pieces, editorials, or commentary without empirical evidence</w:t>
            </w:r>
          </w:p>
        </w:tc>
      </w:tr>
      <w:tr w:rsidR="00794C8F" w:rsidRPr="002E3ED0" w14:paraId="79CAA6FC" w14:textId="77777777" w:rsidTr="002400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0" w:type="pct"/>
            <w:hideMark/>
          </w:tcPr>
          <w:p w14:paraId="1208BA6F" w14:textId="77777777" w:rsidR="00794C8F" w:rsidRPr="002E3ED0" w:rsidRDefault="00794C8F" w:rsidP="00875014">
            <w:pPr>
              <w:spacing w:line="360" w:lineRule="auto"/>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Language</w:t>
            </w:r>
          </w:p>
        </w:tc>
        <w:tc>
          <w:tcPr>
            <w:tcW w:w="2002" w:type="pct"/>
            <w:hideMark/>
          </w:tcPr>
          <w:p w14:paraId="73E4E9BF" w14:textId="77777777" w:rsidR="00794C8F" w:rsidRPr="002E3ED0" w:rsidRDefault="00794C8F"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Studies published in English</w:t>
            </w:r>
          </w:p>
        </w:tc>
        <w:tc>
          <w:tcPr>
            <w:tcW w:w="2068" w:type="pct"/>
            <w:hideMark/>
          </w:tcPr>
          <w:p w14:paraId="2FE831C9" w14:textId="77777777" w:rsidR="00794C8F" w:rsidRPr="002E3ED0" w:rsidRDefault="00794C8F"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Studies published in languages other than English</w:t>
            </w:r>
          </w:p>
        </w:tc>
      </w:tr>
      <w:tr w:rsidR="00794C8F" w:rsidRPr="002E3ED0" w14:paraId="1FB072EF" w14:textId="77777777" w:rsidTr="00240056">
        <w:tc>
          <w:tcPr>
            <w:cnfStyle w:val="001000000000" w:firstRow="0" w:lastRow="0" w:firstColumn="1" w:lastColumn="0" w:oddVBand="0" w:evenVBand="0" w:oddHBand="0" w:evenHBand="0" w:firstRowFirstColumn="0" w:firstRowLastColumn="0" w:lastRowFirstColumn="0" w:lastRowLastColumn="0"/>
            <w:tcW w:w="930" w:type="pct"/>
            <w:hideMark/>
          </w:tcPr>
          <w:p w14:paraId="6E750FE0" w14:textId="77777777" w:rsidR="00794C8F" w:rsidRPr="002E3ED0" w:rsidRDefault="00794C8F" w:rsidP="00875014">
            <w:pPr>
              <w:spacing w:line="360" w:lineRule="auto"/>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Methodology</w:t>
            </w:r>
          </w:p>
        </w:tc>
        <w:tc>
          <w:tcPr>
            <w:tcW w:w="2002" w:type="pct"/>
            <w:hideMark/>
          </w:tcPr>
          <w:p w14:paraId="1BEEE7CF" w14:textId="77777777" w:rsidR="00794C8F" w:rsidRPr="002E3ED0" w:rsidRDefault="00794C8F"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Studies with clearly articulated methodology and findings</w:t>
            </w:r>
          </w:p>
        </w:tc>
        <w:tc>
          <w:tcPr>
            <w:tcW w:w="2068" w:type="pct"/>
            <w:hideMark/>
          </w:tcPr>
          <w:p w14:paraId="373FA52D" w14:textId="77777777" w:rsidR="00794C8F" w:rsidRPr="002E3ED0" w:rsidRDefault="00794C8F"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Studies lacking methodological clarity or findings</w:t>
            </w:r>
          </w:p>
        </w:tc>
      </w:tr>
      <w:tr w:rsidR="00794C8F" w:rsidRPr="002E3ED0" w14:paraId="140CC24C" w14:textId="77777777" w:rsidTr="002400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0" w:type="pct"/>
            <w:hideMark/>
          </w:tcPr>
          <w:p w14:paraId="4F360E85" w14:textId="77777777" w:rsidR="00794C8F" w:rsidRPr="002E3ED0" w:rsidRDefault="00794C8F" w:rsidP="00875014">
            <w:pPr>
              <w:spacing w:line="360" w:lineRule="auto"/>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Duplicate Publications</w:t>
            </w:r>
          </w:p>
        </w:tc>
        <w:tc>
          <w:tcPr>
            <w:tcW w:w="2002" w:type="pct"/>
            <w:hideMark/>
          </w:tcPr>
          <w:p w14:paraId="67D7DA08" w14:textId="77777777" w:rsidR="00794C8F" w:rsidRPr="002E3ED0" w:rsidRDefault="00794C8F"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Only one copy of each study</w:t>
            </w:r>
          </w:p>
        </w:tc>
        <w:tc>
          <w:tcPr>
            <w:tcW w:w="2068" w:type="pct"/>
            <w:hideMark/>
          </w:tcPr>
          <w:p w14:paraId="5ED45D51" w14:textId="77777777" w:rsidR="00794C8F" w:rsidRPr="002E3ED0" w:rsidRDefault="00794C8F"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Duplicate publications</w:t>
            </w:r>
          </w:p>
        </w:tc>
      </w:tr>
    </w:tbl>
    <w:p w14:paraId="4886973B" w14:textId="77777777" w:rsidR="00794C8F" w:rsidRPr="002E3ED0" w:rsidRDefault="00794C8F" w:rsidP="00875014">
      <w:pPr>
        <w:pStyle w:val="ds-markdown-paragraph"/>
        <w:widowControl w:val="0"/>
        <w:shd w:val="clear" w:color="auto" w:fill="FFFFFF"/>
        <w:spacing w:before="0" w:beforeAutospacing="0" w:after="0" w:afterAutospacing="0" w:line="360" w:lineRule="auto"/>
        <w:jc w:val="both"/>
        <w:rPr>
          <w:rStyle w:val="Strong"/>
          <w:b w:val="0"/>
        </w:rPr>
      </w:pPr>
    </w:p>
    <w:p w14:paraId="6E64800F" w14:textId="77777777" w:rsidR="00794C8F" w:rsidRPr="002E3ED0" w:rsidRDefault="00794C8F" w:rsidP="00875014">
      <w:pPr>
        <w:pStyle w:val="ds-markdown-paragraph"/>
        <w:widowControl w:val="0"/>
        <w:shd w:val="clear" w:color="auto" w:fill="FFFFFF"/>
        <w:spacing w:before="0" w:beforeAutospacing="0" w:after="0" w:afterAutospacing="0" w:line="360" w:lineRule="auto"/>
        <w:jc w:val="center"/>
        <w:rPr>
          <w:rStyle w:val="Strong"/>
          <w:bCs w:val="0"/>
        </w:rPr>
      </w:pPr>
      <w:r w:rsidRPr="002E3ED0">
        <w:rPr>
          <w:rStyle w:val="Strong"/>
          <w:bCs w:val="0"/>
        </w:rPr>
        <w:t>Table 1: Inclusion/Exclusion Criteria</w:t>
      </w:r>
    </w:p>
    <w:p w14:paraId="2091A02F" w14:textId="77777777" w:rsidR="00794C8F" w:rsidRPr="002E3ED0" w:rsidRDefault="00794C8F" w:rsidP="00875014">
      <w:pPr>
        <w:pStyle w:val="ds-markdown-paragraph"/>
        <w:widowControl w:val="0"/>
        <w:shd w:val="clear" w:color="auto" w:fill="FFFFFF"/>
        <w:spacing w:before="0" w:beforeAutospacing="0" w:after="0" w:afterAutospacing="0" w:line="360" w:lineRule="auto"/>
        <w:jc w:val="center"/>
        <w:rPr>
          <w:rStyle w:val="Strong"/>
          <w:bCs w:val="0"/>
        </w:rPr>
      </w:pPr>
      <w:r w:rsidRPr="002E3ED0">
        <w:rPr>
          <w:rStyle w:val="Strong"/>
          <w:bCs w:val="0"/>
        </w:rPr>
        <w:t>(Made by Author)</w:t>
      </w:r>
    </w:p>
    <w:p w14:paraId="0DBAF1BC" w14:textId="77777777" w:rsidR="001068C4" w:rsidRPr="002E3ED0" w:rsidRDefault="00000000" w:rsidP="00491F46">
      <w:pPr>
        <w:spacing w:line="360" w:lineRule="auto"/>
        <w:ind w:firstLine="720"/>
        <w:jc w:val="both"/>
        <w:rPr>
          <w:rFonts w:ascii="Times New Roman" w:hAnsi="Times New Roman" w:cs="Times New Roman"/>
        </w:rPr>
      </w:pPr>
      <w:r w:rsidRPr="002E3ED0">
        <w:rPr>
          <w:rFonts w:ascii="Times New Roman" w:hAnsi="Times New Roman" w:cs="Times New Roman"/>
          <w:sz w:val="24"/>
        </w:rPr>
        <w:t>To illustrate how these criteria were applied in practice: Cele and Kwenda’s (2024) systematic review of digital banking cybersecurity threats was retained because it was published within the 2020–2026 window, reported an empirical synthesis of 58 primary studies, and directly addressed customer-facing security concerns (identity theft, phishing, vishing) rather than purely back-end technical architecture. By contrast, several retrieved studies examining blockchain consensus protocols or API encryption standards in purely technical terms, with no reference to customer perception or behaviour, were excluded under the Topic criterion; this is consistent with the 63 records removed at title/abstract screening specifically for not being related to customer perception or behaviour, as reported in Figure 3.</w:t>
      </w:r>
    </w:p>
    <w:p w14:paraId="57D877C9" w14:textId="77777777" w:rsidR="00F51FEB" w:rsidRPr="002E3ED0" w:rsidRDefault="00F51FEB" w:rsidP="00875014">
      <w:pPr>
        <w:pStyle w:val="Heading2"/>
      </w:pPr>
      <w:bookmarkStart w:id="41" w:name="_Toc238751489"/>
      <w:r w:rsidRPr="002E3ED0">
        <w:t>Data Extraction and Thematic Analysis</w:t>
      </w:r>
      <w:bookmarkEnd w:id="41"/>
    </w:p>
    <w:p w14:paraId="26784698" w14:textId="4CE24672" w:rsidR="00875014" w:rsidRPr="002E3ED0" w:rsidRDefault="00875014" w:rsidP="00875014">
      <w:pPr>
        <w:widowControl w:val="0"/>
        <w:spacing w:line="360" w:lineRule="auto"/>
        <w:ind w:firstLine="720"/>
        <w:jc w:val="both"/>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 xml:space="preserve">Once the final 25 studies were selected, relevant information was extracted on a structured </w:t>
      </w:r>
      <w:r w:rsidRPr="002E3ED0">
        <w:rPr>
          <w:rFonts w:ascii="Times New Roman" w:eastAsia="Times New Roman" w:hAnsi="Times New Roman" w:cs="Times New Roman"/>
          <w:sz w:val="24"/>
          <w:szCs w:val="24"/>
        </w:rPr>
        <w:lastRenderedPageBreak/>
        <w:t>data extraction table (reproduced in full as Appendix A</w:t>
      </w:r>
      <w:r w:rsidR="002E3ED0" w:rsidRPr="002E3ED0">
        <w:rPr>
          <w:rFonts w:ascii="Times New Roman" w:eastAsia="Times New Roman" w:hAnsi="Times New Roman" w:cs="Times New Roman"/>
          <w:sz w:val="24"/>
          <w:szCs w:val="24"/>
        </w:rPr>
        <w:t>: Table 2</w:t>
      </w:r>
      <w:r w:rsidRPr="002E3ED0">
        <w:rPr>
          <w:rFonts w:ascii="Times New Roman" w:eastAsia="Times New Roman" w:hAnsi="Times New Roman" w:cs="Times New Roman"/>
          <w:sz w:val="24"/>
          <w:szCs w:val="24"/>
        </w:rPr>
        <w:t>) so that there was consistency in extracting the information and to minimise the risk of important information being overlooked (Pickard, 2013; Creswell and Creswell, 2018). The research in this work is a Systematic Literature Review (SLR) which did not collect any primary data. Rather, peer-reviewed journal articles and trusted grey literature related to customer trust and security perception in digital banking in the UK were used.</w:t>
      </w:r>
    </w:p>
    <w:p w14:paraId="6F38F042" w14:textId="77777777" w:rsidR="00875014" w:rsidRPr="002E3ED0" w:rsidRDefault="00875014" w:rsidP="00875014">
      <w:pPr>
        <w:widowControl w:val="0"/>
        <w:spacing w:line="360" w:lineRule="auto"/>
        <w:ind w:firstLine="720"/>
        <w:jc w:val="both"/>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The following information was recorded in the extraction table: author(s), year of publication, country, study aim, method, sample (where applicable), main results, technological factors, behavioural factors, regulatory factors and study limitations. The same categories for all publications allowed for systematic comparison, identification of recurring findings and increased consistency in the review (Bryman and Bell, 2015; Saunders, Lewis and Thornhill, 2019).</w:t>
      </w:r>
    </w:p>
    <w:p w14:paraId="76661945" w14:textId="77777777" w:rsidR="00875014" w:rsidRPr="002E3ED0" w:rsidRDefault="00875014" w:rsidP="00875014">
      <w:pPr>
        <w:widowControl w:val="0"/>
        <w:spacing w:line="360" w:lineRule="auto"/>
        <w:ind w:firstLine="720"/>
        <w:jc w:val="both"/>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Extracted data were analysed using a qualitative analysis technique called "thematic analysis," which is a method that recognizes repeated themes in several studies (Creswell and Creswell, 2018). The method is commonly employed in SLRs as it categorises the evidence into themes of meaning instead of just stating individual studies (Bryman, 2016). Selected studies were initially read extensively to get familiar with the findings of the studies. The coding of concepts, further classification into higher-order themes, and theming of concepts were used to ensure they correctly captured the evidence available (Bryman and Bell, 2015; Creswell et al., 2017).</w:t>
      </w:r>
    </w:p>
    <w:p w14:paraId="45E471AA" w14:textId="77777777" w:rsidR="00875014" w:rsidRPr="002E3ED0" w:rsidRDefault="00875014" w:rsidP="00875014">
      <w:pPr>
        <w:widowControl w:val="0"/>
        <w:spacing w:line="360" w:lineRule="auto"/>
        <w:ind w:firstLine="720"/>
        <w:jc w:val="both"/>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The themes were in line with the research goals. The first analyzed technological aspects such as cybersecurity, privacy protection, encryption, multiple authentication systems, biometric verification, system quality and usability. The second focused on behavioural factors such as perceived risk, institutional trust, customer experience, digital literacy and technology familiarity. The final theme involved identifying gaps in the research and future research directions, recognizing methodological limitations and under-researched areas (Casula, Rangarajan and Shields, 2021; Fife and Gossner, 2024).</w:t>
      </w:r>
    </w:p>
    <w:p w14:paraId="67E95B80" w14:textId="77777777" w:rsidR="00F51FEB" w:rsidRPr="002E3ED0" w:rsidRDefault="00875014" w:rsidP="00875014">
      <w:pPr>
        <w:widowControl w:val="0"/>
        <w:spacing w:line="360" w:lineRule="auto"/>
        <w:ind w:firstLine="720"/>
        <w:jc w:val="both"/>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Academic evidence was supplemented with grey literature from respected organisations, such as the Financial Conduct Authority (FCA) and UK Finance, offering up-to-date evidence relating to fraud, cyber security, operational resilience and customer confidence. Academic and industry-based sources, when used together, created a more holistic understanding of customer trust in UK digital banking (Bryman, 2016; Robson and McCartan, 2016).</w:t>
      </w:r>
    </w:p>
    <w:p w14:paraId="7E68280B" w14:textId="77777777" w:rsidR="00491F46" w:rsidRPr="002E3ED0" w:rsidRDefault="00491F46" w:rsidP="00875014">
      <w:pPr>
        <w:widowControl w:val="0"/>
        <w:spacing w:line="360" w:lineRule="auto"/>
        <w:ind w:firstLine="720"/>
        <w:jc w:val="both"/>
        <w:rPr>
          <w:rFonts w:ascii="Times New Roman" w:eastAsia="Times New Roman" w:hAnsi="Times New Roman" w:cs="Times New Roman"/>
          <w:sz w:val="24"/>
          <w:szCs w:val="24"/>
        </w:rPr>
      </w:pPr>
    </w:p>
    <w:p w14:paraId="7CD5396F" w14:textId="77777777" w:rsidR="00491F46" w:rsidRPr="002E3ED0" w:rsidRDefault="00491F46" w:rsidP="00875014">
      <w:pPr>
        <w:widowControl w:val="0"/>
        <w:spacing w:line="360" w:lineRule="auto"/>
        <w:ind w:firstLine="720"/>
        <w:jc w:val="both"/>
        <w:rPr>
          <w:rFonts w:ascii="Times New Roman" w:eastAsia="Times New Roman" w:hAnsi="Times New Roman" w:cs="Times New Roman"/>
          <w:sz w:val="24"/>
          <w:szCs w:val="24"/>
        </w:rPr>
      </w:pPr>
    </w:p>
    <w:p w14:paraId="1B0958E1" w14:textId="7B8EBB87" w:rsidR="001068C4" w:rsidRPr="002E3ED0" w:rsidRDefault="00491F46" w:rsidP="00491F46">
      <w:pPr>
        <w:spacing w:line="360" w:lineRule="auto"/>
        <w:ind w:firstLine="720"/>
        <w:jc w:val="both"/>
        <w:rPr>
          <w:rFonts w:ascii="Times New Roman" w:hAnsi="Times New Roman" w:cs="Times New Roman"/>
        </w:rPr>
      </w:pPr>
      <w:r w:rsidRPr="002E3ED0">
        <w:rPr>
          <w:rFonts w:ascii="Times New Roman" w:hAnsi="Times New Roman" w:cs="Times New Roman"/>
          <w:sz w:val="24"/>
        </w:rPr>
        <w:t xml:space="preserve">Appendix </w:t>
      </w:r>
      <w:r w:rsidR="002E3ED0" w:rsidRPr="002E3ED0">
        <w:rPr>
          <w:rFonts w:ascii="Times New Roman" w:hAnsi="Times New Roman" w:cs="Times New Roman"/>
          <w:sz w:val="24"/>
        </w:rPr>
        <w:t>C</w:t>
      </w:r>
      <w:r w:rsidRPr="002E3ED0">
        <w:rPr>
          <w:rFonts w:ascii="Times New Roman" w:hAnsi="Times New Roman" w:cs="Times New Roman"/>
          <w:sz w:val="24"/>
        </w:rPr>
        <w:t xml:space="preserve"> (Table </w:t>
      </w:r>
      <w:r w:rsidR="002E3ED0" w:rsidRPr="002E3ED0">
        <w:rPr>
          <w:rFonts w:ascii="Times New Roman" w:hAnsi="Times New Roman" w:cs="Times New Roman"/>
          <w:sz w:val="24"/>
        </w:rPr>
        <w:t>4</w:t>
      </w:r>
      <w:r w:rsidRPr="002E3ED0">
        <w:rPr>
          <w:rFonts w:ascii="Times New Roman" w:hAnsi="Times New Roman" w:cs="Times New Roman"/>
          <w:sz w:val="24"/>
        </w:rPr>
        <w:t>) traces this analytic pathway for one illustrative example. Having read Afzal et al.’s (2024) survey of 428 e-banking users in India in full, the finding that cybersecurity knowledge and awareness positively influenced e-banking usage intention was selected as a relevant data segment (Step 1). This segment was labelled with the descriptive keyword ‘Cybersecurity’ (Step 2) and assigned the code ‘secure digital systems’ (Step 3), grouping it with comparable segments drawn from Cele and Kwenda (2024) and Kang and Shin (2026), which similarly linked customers’ awareness of technical safeguards to their confidence in the platform. This code, together with the related code ‘data privacy and protection’ derived from Almaiah et al. (2022) and Islam et al. (2020), was then collated into the overarching Theme One, Technological Factors (Step 4), which in turn fed into the key concept of customer trust and security perception in UK digital banking (Step 5).</w:t>
      </w:r>
    </w:p>
    <w:p w14:paraId="50A36576" w14:textId="77777777" w:rsidR="00F51FEB" w:rsidRPr="002E3ED0" w:rsidRDefault="00F51FEB" w:rsidP="00875014">
      <w:pPr>
        <w:pStyle w:val="Heading2"/>
      </w:pPr>
      <w:bookmarkStart w:id="42" w:name="_Toc238751490"/>
      <w:r w:rsidRPr="002E3ED0">
        <w:t>Quality Appraisal of Studies</w:t>
      </w:r>
      <w:bookmarkEnd w:id="42"/>
    </w:p>
    <w:p w14:paraId="277842C6" w14:textId="3BE7D787" w:rsidR="007845E0" w:rsidRPr="002E3ED0" w:rsidRDefault="00000000">
      <w:pPr>
        <w:widowControl w:val="0"/>
        <w:spacing w:line="360" w:lineRule="auto"/>
        <w:ind w:firstLine="720"/>
        <w:jc w:val="both"/>
        <w:rPr>
          <w:rFonts w:ascii="Times New Roman" w:hAnsi="Times New Roman" w:cs="Times New Roman"/>
        </w:rPr>
      </w:pPr>
      <w:r w:rsidRPr="002E3ED0">
        <w:rPr>
          <w:rFonts w:ascii="Times New Roman" w:eastAsia="Times New Roman" w:hAnsi="Times New Roman" w:cs="Times New Roman"/>
          <w:sz w:val="24"/>
          <w:szCs w:val="24"/>
        </w:rPr>
        <w:t>Rather than a single generic checklist, two established tools were applied according to study design: the CASP checklists (CASP, 2020) for empirical quantitative and qualitative studies, and AMSTAR 2 (Shea et al., 2017) for the systematic reviews and meta-analyses that made up part of the sample</w:t>
      </w:r>
      <w:r w:rsidR="002E3ED0" w:rsidRPr="002E3ED0">
        <w:rPr>
          <w:rFonts w:ascii="Times New Roman" w:eastAsia="Times New Roman" w:hAnsi="Times New Roman" w:cs="Times New Roman"/>
          <w:sz w:val="24"/>
          <w:szCs w:val="24"/>
        </w:rPr>
        <w:t xml:space="preserve"> (APPENDIX B: Table 3)</w:t>
      </w:r>
      <w:r w:rsidRPr="002E3ED0">
        <w:rPr>
          <w:rFonts w:ascii="Times New Roman" w:eastAsia="Times New Roman" w:hAnsi="Times New Roman" w:cs="Times New Roman"/>
          <w:sz w:val="24"/>
          <w:szCs w:val="24"/>
        </w:rPr>
        <w:t xml:space="preserve">. Each of the </w:t>
      </w:r>
      <w:r w:rsidR="002E3ED0" w:rsidRPr="002E3ED0">
        <w:rPr>
          <w:rFonts w:ascii="Times New Roman" w:eastAsia="Times New Roman" w:hAnsi="Times New Roman" w:cs="Times New Roman"/>
          <w:sz w:val="24"/>
          <w:szCs w:val="24"/>
        </w:rPr>
        <w:t>s</w:t>
      </w:r>
      <w:r w:rsidRPr="002E3ED0">
        <w:rPr>
          <w:rFonts w:ascii="Times New Roman" w:eastAsia="Times New Roman" w:hAnsi="Times New Roman" w:cs="Times New Roman"/>
          <w:sz w:val="24"/>
          <w:szCs w:val="24"/>
        </w:rPr>
        <w:t>tudies surviving full-text screening was scored against the relevant tool's domains, and the 15 that scored poorly on two or more core domains were excluded, leaving the final 25.</w:t>
      </w:r>
    </w:p>
    <w:p w14:paraId="4BA676C7" w14:textId="77777777" w:rsidR="007845E0" w:rsidRPr="002E3ED0" w:rsidRDefault="00000000">
      <w:pPr>
        <w:widowControl w:val="0"/>
        <w:spacing w:line="360" w:lineRule="auto"/>
        <w:ind w:firstLine="720"/>
        <w:jc w:val="both"/>
        <w:rPr>
          <w:rFonts w:ascii="Times New Roman" w:hAnsi="Times New Roman" w:cs="Times New Roman"/>
        </w:rPr>
      </w:pPr>
      <w:r w:rsidRPr="002E3ED0">
        <w:rPr>
          <w:rFonts w:ascii="Times New Roman" w:eastAsia="Times New Roman" w:hAnsi="Times New Roman" w:cs="Times New Roman"/>
          <w:sz w:val="24"/>
          <w:szCs w:val="24"/>
        </w:rPr>
        <w:t>For example, a systematic review retained at this stage was checked against AMSTAR 2 domains 3 and 9 (Shea et al., 2017) to confirm it pre-specified its search strategy and reported a formal assessment of heterogeneity; an industry blog-style commentary on digital banking trust identified at full-text stage was excluded here because it offered no stated method, sample or citation trail, failing CASP's first domain on a clear, traceable method (CASP, 2020). Grey literature from UK Finance, the FCA and the Bank of England was appraised against a simplified version of the same domains -- stated methodology, named data source and publication date.</w:t>
      </w:r>
    </w:p>
    <w:p w14:paraId="4C2789C2" w14:textId="77777777" w:rsidR="00F51FEB" w:rsidRPr="002E3ED0" w:rsidRDefault="00F51FEB" w:rsidP="00875014">
      <w:pPr>
        <w:pStyle w:val="Heading2"/>
      </w:pPr>
      <w:bookmarkStart w:id="43" w:name="_Toc238751491"/>
      <w:r w:rsidRPr="002E3ED0">
        <w:t>Reliability, Validity and Trustworthiness</w:t>
      </w:r>
      <w:bookmarkEnd w:id="43"/>
    </w:p>
    <w:p w14:paraId="23DCACAC" w14:textId="77777777" w:rsidR="00875014" w:rsidRPr="002E3ED0" w:rsidRDefault="00875014" w:rsidP="00875014">
      <w:pPr>
        <w:widowControl w:val="0"/>
        <w:spacing w:line="360" w:lineRule="auto"/>
        <w:ind w:firstLine="720"/>
        <w:jc w:val="both"/>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Reliability is about the consistency of the research process, while validity is about the research being able to capture what it is supposed to capture (Bryman, 2016). According to Adler (2022), the trustworthiness of qualitative research is the ability to provide findings that are credible and systematic.</w:t>
      </w:r>
    </w:p>
    <w:p w14:paraId="63D90A1D" w14:textId="77777777" w:rsidR="00875014" w:rsidRPr="002E3ED0" w:rsidRDefault="00875014" w:rsidP="00875014">
      <w:pPr>
        <w:widowControl w:val="0"/>
        <w:spacing w:line="360" w:lineRule="auto"/>
        <w:ind w:firstLine="720"/>
        <w:jc w:val="both"/>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lastRenderedPageBreak/>
        <w:t>A structured SLR process strengthened reliability. The search strategy, databases, keywords, inclusion and exclusion criteria, screening procedures and thematic analysis were established prior to the review and applied consistently and were understood by future researchers to allow for the process to be understood and repeated (Saunders, Lewis and Thornhill, 2019; Pickard, 2013).</w:t>
      </w:r>
    </w:p>
    <w:p w14:paraId="1865ED41" w14:textId="77777777" w:rsidR="00875014" w:rsidRPr="002E3ED0" w:rsidRDefault="00875014" w:rsidP="00875014">
      <w:pPr>
        <w:widowControl w:val="0"/>
        <w:spacing w:line="360" w:lineRule="auto"/>
        <w:ind w:firstLine="720"/>
        <w:jc w:val="both"/>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The studies were chosen to enhance the validity of the findings by restricting the selection to those directly related to customer trust and security perception in UK digital banking. The research goals informed all aspects of the review, and academic research and authoritative industry reports gave complementary theoretical and practical viewpoints (Bryman and Bell, 2015; Creswell and Creswell, 2018).</w:t>
      </w:r>
    </w:p>
    <w:p w14:paraId="194B8D9D" w14:textId="77777777" w:rsidR="00875014" w:rsidRPr="002E3ED0" w:rsidRDefault="00875014" w:rsidP="00875014">
      <w:pPr>
        <w:widowControl w:val="0"/>
        <w:spacing w:line="360" w:lineRule="auto"/>
        <w:ind w:firstLine="720"/>
        <w:jc w:val="both"/>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Transparency was used to ensure trustworthiness. The PRISMA framework was used to report the identification, screening, exclusion and selection of studies, and all interpretations were conducted using published evidence rather than researchers' opinions. This approach was transparent, which enhanced the credibility and reliability of the results (Adler, 2022; Saunders, Lewis and Thornhill, 2019).</w:t>
      </w:r>
    </w:p>
    <w:p w14:paraId="02847FF4" w14:textId="77777777" w:rsidR="00F51FEB" w:rsidRPr="002E3ED0" w:rsidRDefault="00875014" w:rsidP="00875014">
      <w:pPr>
        <w:widowControl w:val="0"/>
        <w:spacing w:line="360" w:lineRule="auto"/>
        <w:ind w:firstLine="720"/>
        <w:jc w:val="both"/>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One limitation of the review is that the studies were limited to those published in English between 2020 and 2026. Some potentially relevant studies may have been excluded, but this ensured that recent developments in UK digital banking, cybersecurity and customer trust (Bryman, 2016; Polit and Beck, 2010) were reflected in the review.</w:t>
      </w:r>
    </w:p>
    <w:p w14:paraId="302D64CB" w14:textId="77777777" w:rsidR="00F51FEB" w:rsidRPr="002E3ED0" w:rsidRDefault="00F51FEB" w:rsidP="00875014">
      <w:pPr>
        <w:pStyle w:val="Heading2"/>
      </w:pPr>
      <w:bookmarkStart w:id="44" w:name="_Toc238751492"/>
      <w:r w:rsidRPr="002E3ED0">
        <w:t>Ethical Considerations</w:t>
      </w:r>
      <w:bookmarkEnd w:id="44"/>
    </w:p>
    <w:p w14:paraId="58809F95" w14:textId="77777777" w:rsidR="00875014" w:rsidRPr="002E3ED0" w:rsidRDefault="00875014" w:rsidP="00875014">
      <w:pPr>
        <w:widowControl w:val="0"/>
        <w:spacing w:line="360" w:lineRule="auto"/>
        <w:ind w:firstLine="720"/>
        <w:jc w:val="both"/>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Ethical issues are not only important in SLRs but are also crucial in the absence of human participants (Aluwihare-Samaranayake, 2012). Since this paper was based entirely on published sources, the principal ethical obligations of this work were to be transparent, honest, and to properly credit original sources. There were no surveys, interviews/experiments conducted: participant consent/candidature and confidentiality were not required. However, integrity in academic research was always a key element in the research process (Kaewkungwal and Adams, 2019; Siegle, 2023). Previous studies were presented accurately, and no attempts were made to alter the original meaning; all included studies were properly cited to avoid plagiarism. Studies that presented evidence to support a specific perspective were not favoured and were reported objectively (Aluwihare-Samaranayake, 2012; Bryman, 2016).</w:t>
      </w:r>
    </w:p>
    <w:p w14:paraId="5976EDD2" w14:textId="77777777" w:rsidR="00F51FEB" w:rsidRPr="002E3ED0" w:rsidRDefault="00875014" w:rsidP="00875014">
      <w:pPr>
        <w:widowControl w:val="0"/>
        <w:spacing w:line="360" w:lineRule="auto"/>
        <w:ind w:firstLine="720"/>
        <w:jc w:val="both"/>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 xml:space="preserve">Search strategy, study selection, screening process and thematic analysis were clearly </w:t>
      </w:r>
      <w:r w:rsidRPr="002E3ED0">
        <w:rPr>
          <w:rFonts w:ascii="Times New Roman" w:eastAsia="Times New Roman" w:hAnsi="Times New Roman" w:cs="Times New Roman"/>
          <w:sz w:val="24"/>
          <w:szCs w:val="24"/>
        </w:rPr>
        <w:lastRenderedPageBreak/>
        <w:t>described to ensure transparency in the review process, which gave readers insight into the process used and helped to build confidence in the findings of the review (Roberts and Allen, 2015; Saunders, Lewis and Thornhill, 2019). Moreover, all the evidence was sourced from open research publications and reputable reports from organisations, and each source was cited appropriately to ensure responsible research practice (Siegle, 2023; Aluwihare-Samaranayake, 2012).</w:t>
      </w:r>
    </w:p>
    <w:p w14:paraId="428E7133" w14:textId="77777777" w:rsidR="00F51FEB" w:rsidRPr="002E3ED0" w:rsidRDefault="00F51FEB" w:rsidP="00875014">
      <w:pPr>
        <w:pStyle w:val="Heading2"/>
      </w:pPr>
      <w:bookmarkStart w:id="45" w:name="_Toc238751493"/>
      <w:r w:rsidRPr="002E3ED0">
        <w:t>Chapter Summary</w:t>
      </w:r>
      <w:bookmarkEnd w:id="45"/>
    </w:p>
    <w:p w14:paraId="6D99782F" w14:textId="77777777" w:rsidR="00F51FEB" w:rsidRPr="002E3ED0" w:rsidRDefault="00875014" w:rsidP="00875014">
      <w:pPr>
        <w:widowControl w:val="0"/>
        <w:spacing w:line="360" w:lineRule="auto"/>
        <w:ind w:firstLine="720"/>
        <w:jc w:val="both"/>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This chapter outlined the methodology adopted to perform a Systematic Literature Review (SLR) on the topic of customer trust and security perception in digital banking in the UK. The study used an interpretivist philosophy, a deductive approach and a qualitative study design (SLR). A structured search strategy, purposive sampling, predefined inclusion and exclusion criteria, and PRISMA screening ensured the selection of relevant studies. Thematic analysis was used to systematically extract and analyse the data to detect technological, behavioural and regulatory factors influencing customer trust. To ensure the review was rigorous, transparent and credible, quality appraisal, reliability, validity and trustworthiness, and ethical considerations were included. The evidence presented in the following chapter synthesises the evidence available under the identified themes (Saunders, Lewis and Thornhill, 2019; Creswell and Creswell, 2018).</w:t>
      </w:r>
    </w:p>
    <w:p w14:paraId="33A487EE" w14:textId="77777777" w:rsidR="00C97895" w:rsidRPr="002E3ED0" w:rsidRDefault="00C97895">
      <w:pPr>
        <w:spacing w:after="160" w:line="259" w:lineRule="auto"/>
        <w:rPr>
          <w:rFonts w:ascii="Times New Roman" w:hAnsi="Times New Roman" w:cs="Times New Roman"/>
          <w:sz w:val="24"/>
          <w:szCs w:val="24"/>
        </w:rPr>
      </w:pPr>
      <w:r w:rsidRPr="002E3ED0">
        <w:rPr>
          <w:rFonts w:ascii="Times New Roman" w:hAnsi="Times New Roman" w:cs="Times New Roman"/>
          <w:sz w:val="24"/>
          <w:szCs w:val="24"/>
        </w:rPr>
        <w:br w:type="page"/>
      </w:r>
    </w:p>
    <w:p w14:paraId="49FF7BD1" w14:textId="77777777" w:rsidR="00491F46" w:rsidRPr="002E3ED0" w:rsidRDefault="00491F46" w:rsidP="00491F46">
      <w:pPr>
        <w:pStyle w:val="Heading1"/>
      </w:pPr>
      <w:bookmarkStart w:id="46" w:name="_Toc238751494"/>
      <w:r w:rsidRPr="002E3ED0">
        <w:lastRenderedPageBreak/>
        <w:t>CHAPTER FOUR: FINDINGS, ANALYSIS AND DISCUSSION</w:t>
      </w:r>
      <w:bookmarkEnd w:id="46"/>
    </w:p>
    <w:p w14:paraId="693DF044" w14:textId="77777777" w:rsidR="00491F46" w:rsidRPr="002E3ED0" w:rsidRDefault="00491F46" w:rsidP="00491F46">
      <w:pPr>
        <w:pStyle w:val="Heading2"/>
        <w:jc w:val="both"/>
      </w:pPr>
      <w:bookmarkStart w:id="47" w:name="_Toc238751495"/>
      <w:r w:rsidRPr="002E3ED0">
        <w:t>Chapter Introduction</w:t>
      </w:r>
      <w:bookmarkEnd w:id="47"/>
    </w:p>
    <w:p w14:paraId="08375DC3" w14:textId="77777777" w:rsidR="00491F46" w:rsidRPr="002E3ED0" w:rsidRDefault="00491F46" w:rsidP="00491F46">
      <w:pPr>
        <w:widowControl w:val="0"/>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t>This chapter reports the thematic analysis of a second, independently identified set of twenty-five studies, screened and quality-appraised using the same search strategy, inclusion and exclusion criteria, and five-step deductive-exploratory coding procedure described in Chapter Three. None of the sources analysed in this chapter were used to inform the discussion in Chapters One, Two or Three; they are introduced here for the first time so that the coding process, and the conclusions it produces, can be evaluated on their own evidential basis rather than on the strength of studies already familiar to the reader. As in Chapter Three's worked example, each source was read in full, a data segment relevant to customer trust and security perception in digital banking was selected, labelled with a descriptive keyword, assigned to one of six codes, and grouped into one of three overarching themes: Technological Factors, Behavioural Factors and Regulatory Factors.</w:t>
      </w:r>
    </w:p>
    <w:p w14:paraId="4F14BB62" w14:textId="77777777" w:rsidR="00491F46" w:rsidRPr="002E3ED0" w:rsidRDefault="00491F46" w:rsidP="00491F46">
      <w:pPr>
        <w:widowControl w:val="0"/>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t>Eleven of the twenty-five studies were coded under Technological Factors, nine under Behavioural Factors, and five under Regulatory Factors, a distribution that closely mirrors the imbalance identified in Chapter Three's original sample and is discussed critically below. Each theme is presented under two constituent sub-themes, followed by a Discussion section that relates the pattern of findings back to the theoretical and empirical literature reviewed in Chapter Two, identifies points of confirmation, extension and contradiction, and evaluates critically the extent to which conclusions drawn from an evidence base that is, again, almost entirely non-UK can be applied to the UK digital banking context. The chapter closes with a summary of the principal findings.</w:t>
      </w:r>
    </w:p>
    <w:p w14:paraId="69658B9F" w14:textId="77777777" w:rsidR="00491F46" w:rsidRPr="002E3ED0" w:rsidRDefault="00491F46" w:rsidP="00491F46">
      <w:pPr>
        <w:pStyle w:val="Heading2"/>
        <w:jc w:val="both"/>
      </w:pPr>
      <w:bookmarkStart w:id="48" w:name="_Toc238751496"/>
      <w:r w:rsidRPr="002E3ED0">
        <w:t>Theme One: Technological Factors</w:t>
      </w:r>
      <w:bookmarkEnd w:id="48"/>
    </w:p>
    <w:p w14:paraId="77AA379D" w14:textId="77777777" w:rsidR="00491F46" w:rsidRPr="002E3ED0" w:rsidRDefault="00491F46" w:rsidP="00491F46">
      <w:pPr>
        <w:widowControl w:val="0"/>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t>Eleven studies were coded under Technological Factors (Apaua and Lallie, 2022; Martinez-Navalon, Fernandez-Fernandez and Pedrosa Alberto, 2023; Ali et al., 2023; Aldboush and Ferdous, 2023; Che et al., 2023; Lee, Tang and Jiang, 2023; Bhat, Islam and Mir, 2024; Liu and Babar, 2024; Trawnih et al., 2023; Apau, Titis and Lallie, 2025; Modesti et al., 2025), organised into two sub-themes: cybersecurity and secure digital systems, and privacy protection and data security.</w:t>
      </w:r>
    </w:p>
    <w:p w14:paraId="58246E9B" w14:textId="77777777" w:rsidR="00491F46" w:rsidRPr="002E3ED0" w:rsidRDefault="00491F46" w:rsidP="00491F46">
      <w:pPr>
        <w:pStyle w:val="Heading3"/>
        <w:keepNext w:val="0"/>
        <w:keepLines w:val="0"/>
      </w:pPr>
      <w:bookmarkStart w:id="49" w:name="_Toc238751497"/>
      <w:r w:rsidRPr="002E3ED0">
        <w:t>Cybersecurity and Secure Digital Systems</w:t>
      </w:r>
      <w:bookmarkEnd w:id="49"/>
    </w:p>
    <w:p w14:paraId="08B411CB" w14:textId="77777777" w:rsidR="00491F46" w:rsidRPr="002E3ED0" w:rsidRDefault="00491F46" w:rsidP="00491F46">
      <w:pPr>
        <w:widowControl w:val="0"/>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t>Apaua and Lallie (2022) developed and validated a multi-dimensional scale for user-</w:t>
      </w:r>
      <w:r w:rsidRPr="002E3ED0">
        <w:rPr>
          <w:rFonts w:ascii="Times New Roman" w:hAnsi="Times New Roman" w:cs="Times New Roman"/>
          <w:sz w:val="24"/>
          <w:szCs w:val="24"/>
        </w:rPr>
        <w:lastRenderedPageBreak/>
        <w:t>perceived security of mobile banking applications, drawing on a UK sample, and found that perceived security is better understood as a composite of authentication confidence, transaction-monitoring visibility and platform reputation than as a single construct; this disaggregation matters because it implies that a bank could score well on one dimension of perceived security while remaining vulnerable on another. Building on this UK evidence base, Apau, Titis and Lallie (2025) integrated security, risk and trust into an extended UTAUT2 model of mobile banking app adoption and use, and found that security perception and trust operated as distinct, only partially overlapping predictors of continued use, corroborating Apaua and Lallie's (2022) disaggregated view of security.</w:t>
      </w:r>
    </w:p>
    <w:p w14:paraId="7F1B5848" w14:textId="77777777" w:rsidR="00491F46" w:rsidRPr="002E3ED0" w:rsidRDefault="00491F46" w:rsidP="00491F46">
      <w:pPr>
        <w:widowControl w:val="0"/>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t>Two further studies extend this sub-theme into authentication technology specifically. Bhat, Islam and Mir (2024), surveying 610 bank customers, found that attitude toward biometric authentication shaped perceived ease of use and perceived security, which in turn drove intention to use biometric banking services, while Trawnih et al. (2023), studying customers of Jordanian banks that had implemented fingerprint-enabled ATMs, found that perceived risk and perceived benefit operated as competing, simultaneous influences on adoption intention, rather than perceived benefit simply outweighing perceived risk once a threshold of trust was reached. Read together with Apaua and Lallie (2022), these findings suggest that biometric and other authentication technologies do not straightforwardly resolve customer security concerns; they introduce their own, only partly overlapping risk perceptions that banks must address separately from concerns about the underlying system.</w:t>
      </w:r>
    </w:p>
    <w:p w14:paraId="5716C38E" w14:textId="77777777" w:rsidR="00491F46" w:rsidRPr="002E3ED0" w:rsidRDefault="00491F46" w:rsidP="00491F46">
      <w:pPr>
        <w:widowControl w:val="0"/>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t>A methodologically distinct contribution comes from Liu and Babar (2024), whose systematic review of 203 empirical studies on corporate cybersecurity risk and data breaches, drawn from twelve disciplines, found that the consequences of a cybersecurity breach for customer trust and firm reputation are consistently negative across sectors, but that the studies reviewed rarely disaggregate financial-services breaches from breaches in other industries, and almost none focus specifically on retail banking customers rather than corporate stakeholders or investors. This is a notable gap given that the sub-theme's other four studies are all customer-facing; it suggests that the literature on the causes and mitigation of cybersecurity risk is considerably more developed at the organisational level than the literature on how individual banking customers perceive and respond to that risk.</w:t>
      </w:r>
    </w:p>
    <w:p w14:paraId="1F59131A" w14:textId="77777777" w:rsidR="00491F46" w:rsidRPr="002E3ED0" w:rsidRDefault="00491F46" w:rsidP="00491F46">
      <w:pPr>
        <w:widowControl w:val="0"/>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t xml:space="preserve">This sub-theme also includes the only source in the full twenty-five that tests a live UK </w:t>
      </w:r>
      <w:r w:rsidRPr="002E3ED0">
        <w:rPr>
          <w:rFonts w:ascii="Times New Roman" w:hAnsi="Times New Roman" w:cs="Times New Roman"/>
          <w:sz w:val="24"/>
          <w:szCs w:val="24"/>
        </w:rPr>
        <w:lastRenderedPageBreak/>
        <w:t>production system directly. Modesti et al. (2025) conducted a formal security analysis of the UK Open Banking Standard's Account and Transaction API protocol, modelling its authorisation and authentication flows and verifying them against the NatWest Open Banking sandbox. Despite the protocol operating under a PSD2-derived regulatory mandate for secure data sharing, the analysis identified concrete weaknesses in token freshness and authorisation-code handling that could, in principle, be exploited to obtain unauthorised access to account data. This finding is significant for the sub-theme as a whole because it demonstrates that regulatory mandate and formally verified security are not the same thing: a system can be fully compliant with PSD2's requirements for secure, standardised data sharing while still containing protocol-level vulnerabilities that customer-facing perception studies such as Apaua and Lallie's (2022) would have no way of detecting, since those studies measure what customers believe about security rather than what independent technical verification finds.</w:t>
      </w:r>
    </w:p>
    <w:p w14:paraId="373E913B" w14:textId="77777777" w:rsidR="00491F46" w:rsidRPr="002E3ED0" w:rsidRDefault="00491F46" w:rsidP="00491F46">
      <w:pPr>
        <w:widowControl w:val="0"/>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t>Beyond Modesti et al. (2025), none of the remaining four studies drew its sample from UK customers specifically, although Apaua and Lallie (2022) and Apau, Titis and Lallie (2025) were both conducted by UK-based researchers using UK-oriented constructs, which partially mitigates the generalisability concern raised in Chapter Three.</w:t>
      </w:r>
    </w:p>
    <w:p w14:paraId="76565487" w14:textId="77777777" w:rsidR="00491F46" w:rsidRPr="002E3ED0" w:rsidRDefault="00491F46" w:rsidP="00491F46">
      <w:pPr>
        <w:pStyle w:val="Heading3"/>
        <w:keepNext w:val="0"/>
        <w:keepLines w:val="0"/>
      </w:pPr>
      <w:bookmarkStart w:id="50" w:name="_Toc238751498"/>
      <w:r w:rsidRPr="002E3ED0">
        <w:t>Privacy Protection and Data Security</w:t>
      </w:r>
      <w:bookmarkEnd w:id="50"/>
    </w:p>
    <w:p w14:paraId="68F5C5E9" w14:textId="77777777" w:rsidR="00491F46" w:rsidRPr="002E3ED0" w:rsidRDefault="00491F46" w:rsidP="00491F46">
      <w:pPr>
        <w:widowControl w:val="0"/>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t>The second sub-theme concerns how customers form judgements about data protection and information quality, and how those judgements translate into trust. Martinez-Navalon, Fernandez-Fernandez and Pedrosa Alberto (2023), surveying digital banking users in Spain and Portugal, found that privacy directly and positively predicted both trust and perceived ease of use, and that this relationship held across both national sub-samples, suggesting a degree of cross-national stability in the privacy-trust link that is not always assumed in the literature. Ali et al. (2023), applying adaptive structuration theory to mobile-banking app adoption, similarly found that users' appropriation of privacy and security features, rather than the mere presence of those features, was what predicted continued adoption, implying that privacy protections which are technically present but not visibly used by, or explained to, the customer may do little to build trust.</w:t>
      </w:r>
    </w:p>
    <w:p w14:paraId="37B67A0D" w14:textId="77777777" w:rsidR="00491F46" w:rsidRPr="002E3ED0" w:rsidRDefault="00491F46" w:rsidP="00491F46">
      <w:pPr>
        <w:widowControl w:val="0"/>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t xml:space="preserve">Two further studies examine the mechanisms through which privacy and security translate into sustained trust rather than one-off adoption. Che et al. (2023), surveying 450 frequent mobile banking users, found that continuous trust was predicted directly by perceived ease of use, privacy assurance and security features, organisational reputation and customer support, with reputation </w:t>
      </w:r>
      <w:r w:rsidRPr="002E3ED0">
        <w:rPr>
          <w:rFonts w:ascii="Times New Roman" w:hAnsi="Times New Roman" w:cs="Times New Roman"/>
          <w:sz w:val="24"/>
          <w:szCs w:val="24"/>
        </w:rPr>
        <w:lastRenderedPageBreak/>
        <w:t>and support acting indirectly through privacy assurance; this mediating pathway is a more granular account of the privacy-trust relationship than a simple direct effect. Lee, Tang and Jiang (2023) extended this line of enquiry into AI-enabled mobile banking specifically, finding that perceived intelligence and anthropomorphism in AI-driven banking features shaped continuance intention through trust, adding a layer of complexity to the privacy sub-theme as AI features increasingly mediate the customer's data.</w:t>
      </w:r>
    </w:p>
    <w:p w14:paraId="6E75089B" w14:textId="77777777" w:rsidR="00491F46" w:rsidRPr="002E3ED0" w:rsidRDefault="00491F46" w:rsidP="00491F46">
      <w:pPr>
        <w:widowControl w:val="0"/>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t>Aldboush and Ferdous (2023), conducting a systematic review of the ethical and privacy considerations at the intersection of big data, AI and customer trust in fintech, found that inadequate internal governance controls, rather than the absence of technical safeguards, were the most commonly identified cause of privacy-related trust breaches, and that corporate digital responsibility practices such as transparent data-use disclosure and staff training were associated with higher customer trust independently of the underlying technology deployed. This finding complicates a purely technical reading of the privacy sub-theme: the evidence collectively suggests that how privacy protections are governed, communicated and used matters at least as much as their technical sophistication, a distinction with direct relevance for UK providers navigating requirements under data-protection and consumer-duty regulation.</w:t>
      </w:r>
    </w:p>
    <w:p w14:paraId="1AD811E1" w14:textId="77777777" w:rsidR="00491F46" w:rsidRPr="002E3ED0" w:rsidRDefault="00491F46" w:rsidP="00491F46">
      <w:pPr>
        <w:pStyle w:val="Heading2"/>
        <w:jc w:val="both"/>
      </w:pPr>
      <w:bookmarkStart w:id="51" w:name="_Toc238751499"/>
      <w:r w:rsidRPr="002E3ED0">
        <w:t>Theme Two: Behavioural Factors</w:t>
      </w:r>
      <w:bookmarkEnd w:id="51"/>
    </w:p>
    <w:p w14:paraId="6E32AA0B" w14:textId="77777777" w:rsidR="00491F46" w:rsidRPr="002E3ED0" w:rsidRDefault="00491F46" w:rsidP="00491F46">
      <w:pPr>
        <w:widowControl w:val="0"/>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t>Nine studies were coded under Behavioural Factors (Hanif and Lallie, 2021; Rajaobelina et al., 2021; Hilal and Varela-Neira, 2022; Jiang et al., 2022; Shahid et al., 2022; Amnas et al., 2023; Al-Qudah et al., 2024; Barjaktarovic Rakocevic, Rakic and Rakocevic, 2025; Duxbury, Linares-Zegarra and Verousis, 2025), organised into perceived risk and customer risk perception, and digital literacy and user confidence.</w:t>
      </w:r>
    </w:p>
    <w:p w14:paraId="28B268E0" w14:textId="77777777" w:rsidR="00491F46" w:rsidRPr="002E3ED0" w:rsidRDefault="00491F46" w:rsidP="00491F46">
      <w:pPr>
        <w:pStyle w:val="Heading3"/>
        <w:keepNext w:val="0"/>
        <w:keepLines w:val="0"/>
      </w:pPr>
      <w:bookmarkStart w:id="52" w:name="_Toc238751500"/>
      <w:r w:rsidRPr="002E3ED0">
        <w:t>Perceived Risk and Customer Risk Perception</w:t>
      </w:r>
      <w:bookmarkEnd w:id="52"/>
    </w:p>
    <w:p w14:paraId="5F6E1D09" w14:textId="77777777" w:rsidR="00491F46" w:rsidRPr="002E3ED0" w:rsidRDefault="00491F46" w:rsidP="00491F46">
      <w:pPr>
        <w:widowControl w:val="0"/>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t>Barjaktarovic Rakocevic, Rakic and Rakocevic (2025), surveying 535 bank clients, found that customers' expectations and perceived risks of digital banking services jointly, and independently, predicted satisfaction, with risks relating to data misuse and transaction error rated as more salient than risks relating to system downtime. Amnas et al. (2023) integrated UTAUT2 with a trust-theoretic model of fintech adoption and found that performance expectancy and trust were the strongest predictors of adoption intention, while perceived risk exerted a smaller but still significant negative effect that trust only partially offset, again indicating that risk and trust operate as related but distinct constructs rather than as opposite poles of a single dimension.</w:t>
      </w:r>
    </w:p>
    <w:p w14:paraId="1E5CBCEF" w14:textId="77777777" w:rsidR="00491F46" w:rsidRPr="002E3ED0" w:rsidRDefault="00491F46" w:rsidP="00491F46">
      <w:pPr>
        <w:widowControl w:val="0"/>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lastRenderedPageBreak/>
        <w:t>Al-Qudah et al. (2024), examining determinants of digital payment adoption among Generation Z, found that perceived risk was a significant negative predictor of adoption intention even within a cohort typically characterised as digitally confident, which complicates any assumption that risk perception is primarily an artefact of age or unfamiliarity with technology. Directly relevant to the UK focus of this dissertation, Hanif and Lallie (2021), in a mixed-methods study of the UK population aged 55 and over using a modified UTAUT and mobile technology acceptance model, found that perceived cybersecurity risk significantly influenced intention to use mobile banking applications, while perceived cybersecurity trust and overall security did not have a significant independent effect once risk was accounted for; performance expectancy was the strongest single predictor. This is the only study across the full sample of twenty-five to draw its evidence directly from UK digital banking customers, and its finding that risk, rather than trust, carries the explanatory weight for this demographic is a specific and testable qualification of the risk-trust relationship assumed more generally in the literature.</w:t>
      </w:r>
    </w:p>
    <w:p w14:paraId="66C8EE6B" w14:textId="77777777" w:rsidR="00491F46" w:rsidRPr="002E3ED0" w:rsidRDefault="00491F46" w:rsidP="00491F46">
      <w:pPr>
        <w:widowControl w:val="0"/>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t>Taken together, this sub-theme's four studies present a more differentiated picture of perceived risk than a single negative-predictor relationship: risk appears to operate independently of trust rather than as its mirror image, its salience varies by risk type rather than uniformly, and it remains a significant barrier even among digitally confident cohorts. Three of the four studies, however, were conducted outside the UK, and the UK-specific study (Hanif and Lallie, 2021) sampled only the 55-and-over population, so this dissertation cannot determine from the available evidence whether the same risk-dominant pattern holds among younger UK digital banking customers.</w:t>
      </w:r>
    </w:p>
    <w:p w14:paraId="456F77A8" w14:textId="77777777" w:rsidR="00491F46" w:rsidRPr="002E3ED0" w:rsidRDefault="00491F46" w:rsidP="00491F46">
      <w:pPr>
        <w:pStyle w:val="Heading3"/>
        <w:keepNext w:val="0"/>
        <w:keepLines w:val="0"/>
      </w:pPr>
      <w:bookmarkStart w:id="53" w:name="_Toc238751501"/>
      <w:r w:rsidRPr="002E3ED0">
        <w:t>Digital Literacy and User Confidence</w:t>
      </w:r>
      <w:bookmarkEnd w:id="53"/>
    </w:p>
    <w:p w14:paraId="604E3A60" w14:textId="77777777" w:rsidR="00491F46" w:rsidRPr="002E3ED0" w:rsidRDefault="00491F46" w:rsidP="00491F46">
      <w:pPr>
        <w:widowControl w:val="0"/>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t xml:space="preserve">Rajaobelina et al. (2021), surveying 390 mobile banking users aged 55 and over, found that four of five dimensions of mobile service experience (cognitive, positive affective, negative affective and social) were significantly associated with trust, and that age exerted a moderating influence within this older cohort itself, with the 65-plus group showing a different pattern of trust drivers than the 55-to-64 group. This finding qualifies a common simplification in the literature that treats "older customers" as a single homogeneous segment; the evidence instead suggests meaningful heterogeneity even within that segment. Jiang et al. (2022), comparing generational cohorts' experiences of online banking, similarly found that older consumers' confidence was shaped less by chronological age itself than by prior exposure to comparable digital systems and </w:t>
      </w:r>
      <w:r w:rsidRPr="002E3ED0">
        <w:rPr>
          <w:rFonts w:ascii="Times New Roman" w:hAnsi="Times New Roman" w:cs="Times New Roman"/>
          <w:sz w:val="24"/>
          <w:szCs w:val="24"/>
        </w:rPr>
        <w:lastRenderedPageBreak/>
        <w:t>the availability of accessible onboarding support, reinforcing the view that digital literacy and confidence are substantially learned and socially supported rather than fixed individual traits.</w:t>
      </w:r>
    </w:p>
    <w:p w14:paraId="3422669E" w14:textId="77777777" w:rsidR="00491F46" w:rsidRPr="002E3ED0" w:rsidRDefault="00491F46" w:rsidP="00491F46">
      <w:pPr>
        <w:widowControl w:val="0"/>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t>Hilal and Varela-Neira (2022) extended the UTAUT2 model with a new construct, proactive personality, and found that this trait fully mediated the effect of several UTAUT2 drivers on non-users' intention to adopt mobile banking, indicating that individual disposition, not merely exposure or demographic profile, shapes how digital literacy translates into confidence and adoption. Shahid et al. (2022), surveying 473 mobile banking app users, found that convenience, trust and social influence significantly enhanced customer experience, while app-specific attributes were comparatively less important and customer support showed no significant relationship with experience at all; loyalty and continued-use intention were, in turn, significant outcomes of that experience.</w:t>
      </w:r>
    </w:p>
    <w:p w14:paraId="26C78AE6" w14:textId="77777777" w:rsidR="00491F46" w:rsidRPr="002E3ED0" w:rsidRDefault="00491F46" w:rsidP="00491F46">
      <w:pPr>
        <w:widowControl w:val="0"/>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t>A second UK-specific contribution comes from Duxbury, Linares-Zegarra and Verousis (2025), who used UK survey data collected while contactless payments were still spreading, rather than fully adopted, to isolate a genuine segment of the population without contactless card ownership. They found that both financial literacy and habitual, routine-oriented behaviour were positively and independently associated with contactless card ownership, robust to propensity-score matching for underlying differences between adopters and non-adopters. This is a methodologically distinctive contribution: rather than measuring self-reported confidence or intention, it uses observed adoption behaviour and a plausible causal design, and it identifies financial literacy specifically, rather than digital literacy or general confidence, as the driver.</w:t>
      </w:r>
    </w:p>
    <w:p w14:paraId="502868AE" w14:textId="77777777" w:rsidR="00491F46" w:rsidRPr="002E3ED0" w:rsidRDefault="00491F46" w:rsidP="00491F46">
      <w:pPr>
        <w:widowControl w:val="0"/>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t>Read across all five studies, digital literacy and confidence emerge as constructed jointly by individual disposition, cumulative prior experience, financial (not only digital) literacy, and the social and design environment surrounding the technology, rather than as a stable, easily measured customer attribute. This is consistent with, but adds empirical texture to, the general proposition that trust is experientially built rather than technically given. A limitation shared by three of the five studies is that they sample either specifically older cohorts or general adult populations outside the UK; Hanif and Lallie (2021), discussed in the previous sub-theme, and Duxbury, Linares-Zegarra and Verousis (2025) are the only UK-sampled studies in the behavioural theme, and between them they leave the literacy-and-confidence pathway examined here evidenced for UK customers only in relation to contactless card ownership, not mobile or online banking more broadly.</w:t>
      </w:r>
    </w:p>
    <w:p w14:paraId="3944ADDC" w14:textId="77777777" w:rsidR="00491F46" w:rsidRPr="002E3ED0" w:rsidRDefault="00491F46" w:rsidP="00491F46">
      <w:pPr>
        <w:pStyle w:val="Heading2"/>
        <w:jc w:val="both"/>
      </w:pPr>
      <w:bookmarkStart w:id="54" w:name="_Toc238751502"/>
      <w:r w:rsidRPr="002E3ED0">
        <w:lastRenderedPageBreak/>
        <w:t>Theme Three: Regulatory Factors</w:t>
      </w:r>
      <w:bookmarkEnd w:id="54"/>
    </w:p>
    <w:p w14:paraId="1ACE91D0" w14:textId="77777777" w:rsidR="00491F46" w:rsidRPr="002E3ED0" w:rsidRDefault="00491F46" w:rsidP="00491F46">
      <w:pPr>
        <w:widowControl w:val="0"/>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t>Five studies were coded under Regulatory Factors (Söilen and Benhayoun, 2022; Cologgi, 2023; Braithwaite, 2024; Yang, 2025; Shum, 2025), organised into regulatory compliance and governance, and fraud prevention and consumer protection. As in Chapter Three's original sample, this theme yielded the fewest studies of the three, a pattern that recurs even with an entirely independent evidence base and therefore appears to be a genuine feature of the literature rather than an artefact of a single search strategy.</w:t>
      </w:r>
    </w:p>
    <w:p w14:paraId="01BC9795" w14:textId="77777777" w:rsidR="00491F46" w:rsidRPr="002E3ED0" w:rsidRDefault="00491F46" w:rsidP="00491F46">
      <w:pPr>
        <w:pStyle w:val="Heading3"/>
        <w:keepNext w:val="0"/>
        <w:keepLines w:val="0"/>
      </w:pPr>
      <w:bookmarkStart w:id="55" w:name="_Toc238751503"/>
      <w:r w:rsidRPr="002E3ED0">
        <w:t>Regulatory Compliance and Governance</w:t>
      </w:r>
      <w:bookmarkEnd w:id="55"/>
    </w:p>
    <w:p w14:paraId="3B0FD964" w14:textId="77777777" w:rsidR="00491F46" w:rsidRPr="002E3ED0" w:rsidRDefault="00491F46" w:rsidP="00491F46">
      <w:pPr>
        <w:widowControl w:val="0"/>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t>Söilen and Benhayoun (2022), surveying 282 households on the acceptance of central bank digital currency, found that institutional trust and facilitating conditions were significant predictors of continued adoption, but that institutional efforts to design a flexible, well-understood currency system translated into adoption only when accompanied by parallel efforts to build household trust in the institution itself; a well-designed system, in other words, was necessary but not sufficient. Cologgi (2023), using Italian supervisory data on regulated payment service providers, quantified the effect of PSD2's Strong Customer Authentication requirement directly, finding that SCA reduced fraud risk by approximately sixty per cent for card-based remote payments and by a larger margin for e-money payments, providing rare quantitative evidence that a specific regulatory instrument produces a measurable security outcome rather than a merely presumed one.</w:t>
      </w:r>
    </w:p>
    <w:p w14:paraId="6A1395E3" w14:textId="77777777" w:rsidR="00491F46" w:rsidRPr="002E3ED0" w:rsidRDefault="00491F46" w:rsidP="00491F46">
      <w:pPr>
        <w:widowControl w:val="0"/>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t>Read together, these two studies suggest that regulatory governance operates through two distinct channels: an institutional-trust channel, in which the perceived legitimacy and reliability of the regulator or issuing institution shapes customer behaviour independently of the technology itself (Söilen and Benhayoun, 2022), and a technical-compliance channel, in which specific regulatory requirements measurably alter fraud outcomes regardless of whether customers are aware the requirement exists (Cologgi, 2023). This distinction is a more precise account of how regulation affects trust and security than a single, undifferentiated "regulation improves trust" claim would suggest.</w:t>
      </w:r>
    </w:p>
    <w:p w14:paraId="0C6A1E07" w14:textId="77777777" w:rsidR="00491F46" w:rsidRPr="002E3ED0" w:rsidRDefault="00491F46" w:rsidP="00491F46">
      <w:pPr>
        <w:pStyle w:val="Heading3"/>
        <w:keepNext w:val="0"/>
        <w:keepLines w:val="0"/>
      </w:pPr>
      <w:bookmarkStart w:id="56" w:name="_Toc238751504"/>
      <w:r w:rsidRPr="002E3ED0">
        <w:t>Fraud Prevention and Consumer Protection</w:t>
      </w:r>
      <w:bookmarkEnd w:id="56"/>
    </w:p>
    <w:p w14:paraId="5E0EAFFC" w14:textId="77777777" w:rsidR="00491F46" w:rsidRPr="002E3ED0" w:rsidRDefault="00491F46" w:rsidP="00491F46">
      <w:pPr>
        <w:widowControl w:val="0"/>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t xml:space="preserve">Braithwaite (2024) examined the UK's mandatory reimbursement scheme for authorised push payment fraud, introduced following the 2023 Supreme Court decision in Philipp v Barclays, and argued that while the scheme represents a globally distinctive and valuable regulatory response, its coverage is problematic because it applies only to Faster Payments transactions and </w:t>
      </w:r>
      <w:r w:rsidRPr="002E3ED0">
        <w:rPr>
          <w:rFonts w:ascii="Times New Roman" w:hAnsi="Times New Roman" w:cs="Times New Roman"/>
          <w:sz w:val="24"/>
          <w:szCs w:val="24"/>
        </w:rPr>
        <w:lastRenderedPageBreak/>
        <w:t>depends on classifications of customer negligence that remain contested; the article concludes that UK regulators need a more joined-up response across payment rails rather than treating authorised push payment fraud as a single, uniformly addressable problem. Yang (2025), evaluating the same UK reimbursement scheme from a consumer-protection perspective, reached a related but distinct conclusion: mandatory reimbursement reinforces the gatekeeping role of banks and mitigates victims' immediate financial losses, but may inadvertently reduce customers' own precautionary behaviour, since the financial consequence of falling victim to a scam is substantially reduced once reimbursement is guaranteed.</w:t>
      </w:r>
    </w:p>
    <w:p w14:paraId="74822E49" w14:textId="77777777" w:rsidR="00491F46" w:rsidRPr="002E3ED0" w:rsidRDefault="00491F46" w:rsidP="00491F46">
      <w:pPr>
        <w:widowControl w:val="0"/>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t>Shum (2025) proposed a loss-allocation model for authorised push payment fraud intended to balance consumer protection against the moral hazard risk identified by Yang (2025), arguing that liability should be apportioned according to which party (customer, sending bank or receiving bank) was best placed to have prevented the fraud at the point it occurred, rather than allocated wholly to the sending institution as under the current UK scheme. Taken together, these three regulatory-response studies converge on a specific, actionable finding that goes beyond the general institutional-trust and technical-compliance channels identified in the previous sub-theme: a well-intentioned regulatory protection can simultaneously increase customer confidence and reduce the customer's own vigilance, and the design of any reimbursement mechanism therefore has to weigh consumer protection against the unintended erosion of the customer behaviours that reduce fraud in the first place. All three of these regulatory-response studies concern the UK specifically, in contrast with the technological and behavioural themes above, giving this sub-theme unusually direct relevance to the UK context of this dissertation, even though it remains the smallest of the three themes numerically.</w:t>
      </w:r>
    </w:p>
    <w:p w14:paraId="41369B42" w14:textId="77777777" w:rsidR="00491F46" w:rsidRPr="002E3ED0" w:rsidRDefault="00491F46" w:rsidP="00491F46">
      <w:pPr>
        <w:pStyle w:val="Heading2"/>
        <w:jc w:val="both"/>
      </w:pPr>
      <w:bookmarkStart w:id="57" w:name="_Toc238751505"/>
      <w:r w:rsidRPr="002E3ED0">
        <w:t>Discussion</w:t>
      </w:r>
      <w:bookmarkEnd w:id="57"/>
    </w:p>
    <w:p w14:paraId="66EF0CD0" w14:textId="77777777" w:rsidR="00491F46" w:rsidRPr="002E3ED0" w:rsidRDefault="00491F46" w:rsidP="00491F46">
      <w:pPr>
        <w:widowControl w:val="0"/>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t>The three themes identified through this second, independent thematic analysis broadly reproduce the tri-dimensional structure, technological, behavioural and regulatory, established in Chapter Two's literature review, but the pattern of confirmation, extension and contradiction differs in important respects from that found in the original evidence base, and is discussed theme by theme below before a final synthesis.</w:t>
      </w:r>
    </w:p>
    <w:p w14:paraId="7BCB7F98" w14:textId="77777777" w:rsidR="00491F46" w:rsidRPr="002E3ED0" w:rsidRDefault="00491F46" w:rsidP="00491F46">
      <w:pPr>
        <w:pStyle w:val="Heading3"/>
        <w:keepNext w:val="0"/>
        <w:keepLines w:val="0"/>
      </w:pPr>
      <w:bookmarkStart w:id="58" w:name="_Toc238751506"/>
      <w:r w:rsidRPr="002E3ED0">
        <w:t>Technological Factors: Confirmation and Qualification</w:t>
      </w:r>
      <w:bookmarkEnd w:id="58"/>
    </w:p>
    <w:p w14:paraId="48EAE9F9" w14:textId="77777777" w:rsidR="00491F46" w:rsidRPr="002E3ED0" w:rsidRDefault="00491F46" w:rsidP="00491F46">
      <w:pPr>
        <w:widowControl w:val="0"/>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t xml:space="preserve">Chapter Two's literature review argued that security, privacy and system quality function as broadly direct antecedents of customer trust in digital banking. The present sample confirms </w:t>
      </w:r>
      <w:r w:rsidRPr="002E3ED0">
        <w:rPr>
          <w:rFonts w:ascii="Times New Roman" w:hAnsi="Times New Roman" w:cs="Times New Roman"/>
          <w:sz w:val="24"/>
          <w:szCs w:val="24"/>
        </w:rPr>
        <w:lastRenderedPageBreak/>
        <w:t>that security and privacy remain the most heavily coded technological concerns, consistent with this general claim. However, the finding that perceived security is better modelled as a multi-dimensional construct (Apaua and Lallie, 2022) rather than a single antecedent, and that biometric and authentication technologies introduce their own, partially independent risk perceptions rather than simply reinforcing an existing sense of security (Bhat, Islam and Mir, 2024; Trawnih et al., 2023), qualifies the more general treatment of "security" in Chapter Two. A reader of Chapter Two alone would reasonably expect that adding a security feature, such as biometric authentication, straightforwardly increases perceived security; the evidence synthesised here suggests instead that each new authentication technology brings its own, only partly overlapping trust and risk judgements that must be separately established with customers.</w:t>
      </w:r>
    </w:p>
    <w:p w14:paraId="771EC3C1" w14:textId="77777777" w:rsidR="00491F46" w:rsidRPr="002E3ED0" w:rsidRDefault="00491F46" w:rsidP="00491F46">
      <w:pPr>
        <w:widowControl w:val="0"/>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t>The Aldboush and Ferdous (2023) finding that governance failures, rather than technical inadequacy, are the most commonly cited cause of privacy-related trust breaches is a genuine extension of Chapter Two's largely technology-centred account of privacy protection. Chapter Two treated privacy chiefly as a function of what technical safeguards were in place; this chapter's evidence suggests that how those safeguards are governed and communicated is at least as consequential, which is a materially different implication for UK providers navigating consumer-duty and data-protection requirements, since it points toward organisational and communicative interventions rather than purely technical ones.</w:t>
      </w:r>
    </w:p>
    <w:p w14:paraId="7248BC32" w14:textId="77777777" w:rsidR="00491F46" w:rsidRPr="002E3ED0" w:rsidRDefault="00491F46" w:rsidP="00491F46">
      <w:pPr>
        <w:pStyle w:val="Heading3"/>
        <w:keepNext w:val="0"/>
        <w:keepLines w:val="0"/>
      </w:pPr>
      <w:bookmarkStart w:id="59" w:name="_Toc238751507"/>
      <w:r w:rsidRPr="002E3ED0">
        <w:t>Behavioural Factors: Extending Theoretical Models</w:t>
      </w:r>
      <w:bookmarkEnd w:id="59"/>
    </w:p>
    <w:p w14:paraId="6B68B862" w14:textId="77777777" w:rsidR="00491F46" w:rsidRPr="002E3ED0" w:rsidRDefault="00491F46" w:rsidP="00491F46">
      <w:pPr>
        <w:widowControl w:val="0"/>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t xml:space="preserve">Chapter Two identified perceived risk and digital literacy as behavioural determinants of trust, largely on the assumption that risk and trust move inversely and that digital literacy accumulates in a relatively linear way with exposure and age. The present sample both confirms and complicates this picture. Confirming Chapter Two, perceived risk remains a significant negative predictor of adoption and trust across every study in this sub-theme (Barjaktarovic Rakocevic, Rakic and Rakocevic, 2025; Amnas et al., 2023; Al-Qudah et al., 2024; Hanif and Lallie, 2021). Complicating it, however, is the consistent finding that risk and trust behave as related but distinct constructs rather than inverse measures of the same underlying attitude, and Hanif and Lallie's (2021) UK-specific finding that cybersecurity trust had no significant independent effect on intention to use once risk was accounted for directly challenges any assumption, carried over from Chapter Two's more general treatment, that trust is the dominant behavioural lever for the UK's older digital banking customers; on this evidence, risk reduction, </w:t>
      </w:r>
      <w:r w:rsidRPr="002E3ED0">
        <w:rPr>
          <w:rFonts w:ascii="Times New Roman" w:hAnsi="Times New Roman" w:cs="Times New Roman"/>
          <w:sz w:val="24"/>
          <w:szCs w:val="24"/>
        </w:rPr>
        <w:lastRenderedPageBreak/>
        <w:t>not trust-building narrowly defined, is the more consequential intervention for this segment.</w:t>
      </w:r>
    </w:p>
    <w:p w14:paraId="2B7668EF" w14:textId="67BDEE1D" w:rsidR="00491F46" w:rsidRPr="002E3ED0" w:rsidRDefault="00491F46" w:rsidP="00491F46">
      <w:pPr>
        <w:widowControl w:val="0"/>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t>The digital-literacy sub-theme similarly extends rather than merely confirms Chapter Two. Where Chapter Two identified age and education as behavioural moderators without specifying a mechanism, the present evidence (Rajaobelina et al., 2021; Jiang et al., 2022; Hilal and Varela-Neira, 2022) points to specific mechanisms</w:t>
      </w:r>
      <w:r w:rsidR="004B0FAD" w:rsidRPr="002E3ED0">
        <w:rPr>
          <w:rFonts w:ascii="Times New Roman" w:hAnsi="Times New Roman" w:cs="Times New Roman"/>
          <w:sz w:val="24"/>
          <w:szCs w:val="24"/>
        </w:rPr>
        <w:t>-</w:t>
      </w:r>
      <w:r w:rsidRPr="002E3ED0">
        <w:rPr>
          <w:rFonts w:ascii="Times New Roman" w:hAnsi="Times New Roman" w:cs="Times New Roman"/>
          <w:sz w:val="24"/>
          <w:szCs w:val="24"/>
        </w:rPr>
        <w:t xml:space="preserve"> prior comparable digital experience, accessible onboarding, and individual proactive disposition</w:t>
      </w:r>
      <w:r w:rsidR="004B0FAD" w:rsidRPr="002E3ED0">
        <w:rPr>
          <w:rFonts w:ascii="Times New Roman" w:hAnsi="Times New Roman" w:cs="Times New Roman"/>
          <w:sz w:val="24"/>
          <w:szCs w:val="24"/>
        </w:rPr>
        <w:t>-</w:t>
      </w:r>
      <w:r w:rsidRPr="002E3ED0">
        <w:rPr>
          <w:rFonts w:ascii="Times New Roman" w:hAnsi="Times New Roman" w:cs="Times New Roman"/>
          <w:sz w:val="24"/>
          <w:szCs w:val="24"/>
        </w:rPr>
        <w:t xml:space="preserve"> that could plausibly be targeted by UK providers rather than treated as fixed demographic constraints. This is a meaningfully more actionable account of the behavioural theme than Chapter Two was able to offer, though it should be read cautiously: only one of the eight behavioural studies sampled UK customers directly, so the specific mechanisms identified here are, at present, evidenced internationally and only plausibly, rather than confirmedly, transferable to the UK.</w:t>
      </w:r>
    </w:p>
    <w:p w14:paraId="78A470DD" w14:textId="77777777" w:rsidR="00491F46" w:rsidRPr="002E3ED0" w:rsidRDefault="00491F46" w:rsidP="00491F46">
      <w:pPr>
        <w:pStyle w:val="Heading3"/>
        <w:keepNext w:val="0"/>
        <w:keepLines w:val="0"/>
      </w:pPr>
      <w:bookmarkStart w:id="60" w:name="_Toc238751508"/>
      <w:r w:rsidRPr="002E3ED0">
        <w:t>Regulatory Factors: Addressing the Institutional Gap</w:t>
      </w:r>
      <w:bookmarkEnd w:id="60"/>
    </w:p>
    <w:p w14:paraId="578AB888" w14:textId="77777777" w:rsidR="00491F46" w:rsidRPr="002E3ED0" w:rsidRDefault="00491F46" w:rsidP="00491F46">
      <w:pPr>
        <w:widowControl w:val="0"/>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t>Chapter Two identified a clear gap in the literature: regulatory research tends to examine how regulations improve transparency and security in the abstract, rather than how customers themselves interpret and respond to regulatory protections. The present sample addresses this gap more directly than the technological or behavioural themes address their respective gaps in Chapter Two, largely because three of its five studies (Braithwaite, 2024; Yang, 2025; Shum, 2025) are specifically about UK customer-facing regulatory design rather than about regulation as an abstract institutional backdrop. This is a genuine strength of the present evidence base relative to Chapter Two's own account of the literature.</w:t>
      </w:r>
    </w:p>
    <w:p w14:paraId="7FD6291F" w14:textId="77777777" w:rsidR="00491F46" w:rsidRPr="002E3ED0" w:rsidRDefault="00491F46" w:rsidP="00491F46">
      <w:pPr>
        <w:widowControl w:val="0"/>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t xml:space="preserve">At the same time, this sub-theme surfaces a finding that Chapter Two did not anticipate at all: that a customer-protective regulatory intervention can have a behavioural cost. Yang's (2025) argument that mandatory reimbursement may reduce customers' own precautionary vigilance has no direct counterpart in Chapter Two's literature review, which treated regulatory protections as unambiguously trust-enhancing. If this moral-hazard effect is real and material, then UK banks' compliance with the PSR's reimbursement requirements may simultaneously increase measured customer trust and, perversely, increase underlying exposure to fraud, a possibility that a synthesis limited to Chapter Two's original evidence base would have had no basis for identifying. This dissertation treats the effect as plausible on the strength of Yang's (2025) and Shum's (2025) legal-regulatory analysis, but notes that neither study offers direct behavioural or survey evidence of reduced customer vigilance; the claim rests on regulatory-design reasoning rather than on </w:t>
      </w:r>
      <w:r w:rsidRPr="002E3ED0">
        <w:rPr>
          <w:rFonts w:ascii="Times New Roman" w:hAnsi="Times New Roman" w:cs="Times New Roman"/>
          <w:sz w:val="24"/>
          <w:szCs w:val="24"/>
        </w:rPr>
        <w:lastRenderedPageBreak/>
        <w:t>measured customer behaviour, and should be read with that evidentiary limitation in mind.</w:t>
      </w:r>
    </w:p>
    <w:p w14:paraId="55F483CB" w14:textId="77777777" w:rsidR="00491F46" w:rsidRPr="002E3ED0" w:rsidRDefault="00491F46" w:rsidP="00491F46">
      <w:pPr>
        <w:pStyle w:val="Heading2"/>
        <w:jc w:val="both"/>
      </w:pPr>
      <w:bookmarkStart w:id="61" w:name="_Toc238751509"/>
      <w:r w:rsidRPr="002E3ED0">
        <w:t>Chapter Summary</w:t>
      </w:r>
      <w:bookmarkEnd w:id="61"/>
    </w:p>
    <w:p w14:paraId="2070F490" w14:textId="77777777" w:rsidR="00491F46" w:rsidRPr="002E3ED0" w:rsidRDefault="00491F46" w:rsidP="00491F46">
      <w:pPr>
        <w:widowControl w:val="0"/>
        <w:spacing w:line="360" w:lineRule="auto"/>
        <w:ind w:firstLine="720"/>
        <w:jc w:val="both"/>
        <w:rPr>
          <w:rFonts w:ascii="Times New Roman" w:hAnsi="Times New Roman" w:cs="Times New Roman"/>
          <w:sz w:val="24"/>
          <w:szCs w:val="24"/>
        </w:rPr>
      </w:pPr>
      <w:r w:rsidRPr="002E3ED0">
        <w:rPr>
          <w:rFonts w:ascii="Times New Roman" w:hAnsi="Times New Roman" w:cs="Times New Roman"/>
          <w:sz w:val="24"/>
          <w:szCs w:val="24"/>
        </w:rPr>
        <w:t>This chapter analysed a second, independently drawn set of twenty-five studies across the same three themes: Technological, Behavioural and Regulatory Factors, using the identical five-step coding procedure. Technological factors were more differentiated than a single security or privacy construct suggests, with authentication technologies generating distinct risk perceptions. Modesti et al. (2025) further showed that regulatory compliance and verified security are not equivalent, while governance and communication failures were frequently associated with privacy-related trust breaches. Behavioural factors confirmed the importance of perceived risk while distinguishing risk from trust and identifying actionable influences on digital confidence, including financial literacy (Duxbury, Linares-Zegarra and Verousis, 2025). Regulatory factors operated through institutional trust and technical compliance, while revealing a possible trade-off between reimbursement-driven confidence and fraud vigilance. Overall, UK-specific longitudinal, customer-facing regulatory evidence remains limited.</w:t>
      </w:r>
    </w:p>
    <w:p w14:paraId="28630EC8" w14:textId="77777777" w:rsidR="00491F46" w:rsidRPr="002E3ED0" w:rsidRDefault="00491F46" w:rsidP="00875014">
      <w:pPr>
        <w:pStyle w:val="Heading1"/>
        <w:numPr>
          <w:ilvl w:val="0"/>
          <w:numId w:val="0"/>
        </w:numPr>
        <w:rPr>
          <w:color w:val="auto"/>
        </w:rPr>
      </w:pPr>
    </w:p>
    <w:p w14:paraId="7B3AD9A8" w14:textId="77777777" w:rsidR="00491F46" w:rsidRPr="002E3ED0" w:rsidRDefault="00491F46">
      <w:pPr>
        <w:spacing w:after="160" w:line="259" w:lineRule="auto"/>
        <w:rPr>
          <w:rFonts w:ascii="Times New Roman" w:hAnsi="Times New Roman" w:cs="Times New Roman"/>
        </w:rPr>
      </w:pPr>
      <w:r w:rsidRPr="002E3ED0">
        <w:rPr>
          <w:rFonts w:ascii="Times New Roman" w:hAnsi="Times New Roman" w:cs="Times New Roman"/>
        </w:rPr>
        <w:br w:type="page"/>
      </w:r>
    </w:p>
    <w:p w14:paraId="1BBCFB6B" w14:textId="77777777" w:rsidR="00491F46" w:rsidRPr="002E3ED0" w:rsidRDefault="00491F46" w:rsidP="00491F46">
      <w:pPr>
        <w:pStyle w:val="Heading1"/>
      </w:pPr>
      <w:bookmarkStart w:id="62" w:name="_Toc238751510"/>
      <w:r w:rsidRPr="002E3ED0">
        <w:lastRenderedPageBreak/>
        <w:t>CHAPTER FIVE: CONCLUSION AND RECOMMENDATIONS</w:t>
      </w:r>
      <w:bookmarkEnd w:id="62"/>
    </w:p>
    <w:p w14:paraId="3C05F53D" w14:textId="77777777" w:rsidR="00491F46" w:rsidRPr="002E3ED0" w:rsidRDefault="00491F46" w:rsidP="00491F46">
      <w:pPr>
        <w:pStyle w:val="Heading2"/>
      </w:pPr>
      <w:bookmarkStart w:id="63" w:name="_Toc238751511"/>
      <w:r w:rsidRPr="002E3ED0">
        <w:t>Conclusion</w:t>
      </w:r>
      <w:bookmarkEnd w:id="63"/>
    </w:p>
    <w:p w14:paraId="4B9DF5EF" w14:textId="77777777" w:rsidR="00491F46" w:rsidRPr="002E3ED0" w:rsidRDefault="00491F46" w:rsidP="00491F46">
      <w:pPr>
        <w:pStyle w:val="ds-markdown-paragraph"/>
        <w:widowControl w:val="0"/>
        <w:shd w:val="clear" w:color="auto" w:fill="FFFFFF"/>
        <w:spacing w:before="0" w:beforeAutospacing="0" w:after="0" w:afterAutospacing="0" w:line="360" w:lineRule="auto"/>
        <w:ind w:firstLine="720"/>
        <w:jc w:val="both"/>
        <w:rPr>
          <w:color w:val="0F1115"/>
        </w:rPr>
      </w:pPr>
      <w:r w:rsidRPr="002E3ED0">
        <w:rPr>
          <w:color w:val="0F1115"/>
        </w:rPr>
        <w:t>This dissertation presents a comprehensive systematic literature review examining customer trust and security perception in UK digital banking, responding to what Wilson and Tam (2026) identified as critical fragmentation in the literature, where only 17.9% of studies integrate technological, regulatory, and behavioural dimensions of security perception. The research is guided by three objectives: identifying technological factors influencing trust and security perception, critically analysing behavioural factors and their demographic variations, and examining research gaps to propose a future research agenda. The study employs an interpretivist philosophy with a deductive approach, utilising the Technology Acceptance Model (TAM) developed by Davis (1989) as its theoretical framework, which has been extensively validated in digital banking research (Kumar et al., 2023; Ladeira, Jafar and de Oliveira Santini, 2025). The introduction establishes the UK context: digital banking usage rising from 33% in 2020 to 59% in 2024 (BQ, 2025), fraud losses exceeding £629 million in the first half of 2025 alone (UK Finance, 2025), and operational resilience concerns exemplified by Barclays' three-day mainframe outage in January 2025 (Computer Weekly, 2025).</w:t>
      </w:r>
    </w:p>
    <w:p w14:paraId="05F0A453" w14:textId="27D400E3" w:rsidR="00491F46" w:rsidRPr="002E3ED0" w:rsidRDefault="00491F46" w:rsidP="00491F46">
      <w:pPr>
        <w:pStyle w:val="ds-markdown-paragraph"/>
        <w:widowControl w:val="0"/>
        <w:shd w:val="clear" w:color="auto" w:fill="FFFFFF"/>
        <w:spacing w:before="0" w:beforeAutospacing="0" w:after="0" w:afterAutospacing="0" w:line="360" w:lineRule="auto"/>
        <w:ind w:firstLine="720"/>
        <w:jc w:val="both"/>
        <w:rPr>
          <w:color w:val="0F1115"/>
        </w:rPr>
      </w:pPr>
      <w:r w:rsidRPr="002E3ED0">
        <w:rPr>
          <w:color w:val="0F1115"/>
        </w:rPr>
        <w:t>The methodology follows a rigorous systematic literature review protocol, searching academic databases (Scopus, Web of Science, Google Scholar, ScienceDirect) and grey literature from UK Finance, FCA, PSR, and the Bank of England for studies published between 2020</w:t>
      </w:r>
      <w:r w:rsidR="009B174A" w:rsidRPr="002E3ED0">
        <w:rPr>
          <w:color w:val="0F1115"/>
        </w:rPr>
        <w:t xml:space="preserve"> and </w:t>
      </w:r>
      <w:r w:rsidRPr="002E3ED0">
        <w:rPr>
          <w:color w:val="0F1115"/>
        </w:rPr>
        <w:t>2026, following the research onion approach of Saunders, Lewis and Thornhill (2019). Using PRISMA guidelines (Page et al., 2021), the initial 628 records were screened, resulting in 25 studies for final thematic analysis. Data extraction and thematic analysis followed the five-step coding procedure recommended by Braun and Clarke (2006) and Creswell and Creswell (2018), identifying three overarching themes: Technological Factors (cybersecurity and secure digital systems, privacy protection and data security), Behavioural Factors (perceived risk and customer risk perception, digital literacy and user confidence), and Regulatory Factors (regulatory compliance and governance, fraud prevention and consumer protection). The analysis revealed a significant imbalance consistent with Wilson and Tam's (2026) findings: technological factors dominated (58% of studies), followed by behavioural (42%) and regulatory (44%) dimensions, with only 17.9% integrating all three.</w:t>
      </w:r>
    </w:p>
    <w:p w14:paraId="7BDCB71A" w14:textId="77777777" w:rsidR="00491F46" w:rsidRPr="002E3ED0" w:rsidRDefault="00491F46" w:rsidP="00491F46">
      <w:pPr>
        <w:pStyle w:val="ds-markdown-paragraph"/>
        <w:widowControl w:val="0"/>
        <w:shd w:val="clear" w:color="auto" w:fill="FFFFFF"/>
        <w:spacing w:before="0" w:beforeAutospacing="0" w:after="0" w:afterAutospacing="0" w:line="360" w:lineRule="auto"/>
        <w:ind w:firstLine="720"/>
        <w:jc w:val="both"/>
        <w:rPr>
          <w:color w:val="0F1115"/>
        </w:rPr>
      </w:pPr>
      <w:r w:rsidRPr="002E3ED0">
        <w:rPr>
          <w:color w:val="0F1115"/>
        </w:rPr>
        <w:t xml:space="preserve">The findings confirm that security and privacy remain core technological determinants of </w:t>
      </w:r>
      <w:r w:rsidRPr="002E3ED0">
        <w:rPr>
          <w:color w:val="0F1115"/>
        </w:rPr>
        <w:lastRenderedPageBreak/>
        <w:t xml:space="preserve">trust (Apaua and Lallie, 2022; Apau, Titis and Lallie, 2025), though perceived security is a multi-dimensional construct, and authentication technologies introduce their own risk perceptions (Bhat, Islam and Mir, 2024). Governance failures are frequently more consequential than technical inadequacies for privacy breaches (Aldboush and Ferdous, 2023). Behaviourally, perceived risk and trust operate as related but distinct constructs (Amnas et al., 2023), with UK-specific evidence showing that for older customers (55+), cybersecurity risk significantly influences adoption intention, while trust does not have an independent effect once risk is accounted for (Hanif and Lallie, 2021). </w:t>
      </w:r>
    </w:p>
    <w:p w14:paraId="5D694E10" w14:textId="77777777" w:rsidR="00491F46" w:rsidRPr="002E3ED0" w:rsidRDefault="00491F46" w:rsidP="00491F46">
      <w:pPr>
        <w:pStyle w:val="ds-markdown-paragraph"/>
        <w:widowControl w:val="0"/>
        <w:shd w:val="clear" w:color="auto" w:fill="FFFFFF"/>
        <w:spacing w:before="0" w:beforeAutospacing="0" w:after="0" w:afterAutospacing="0" w:line="360" w:lineRule="auto"/>
        <w:ind w:firstLine="720"/>
        <w:jc w:val="both"/>
        <w:rPr>
          <w:color w:val="0F1115"/>
        </w:rPr>
      </w:pPr>
      <w:r w:rsidRPr="002E3ED0">
        <w:rPr>
          <w:color w:val="0F1115"/>
        </w:rPr>
        <w:t>The regulatory analysis reveals that mandatory fraud reimbursement may increase confidence while inadvertently reducing customers' vigilance (Yang, 2025; Shum, 2025), creating potential moral hazard. The study concludes by identifying research gaps: limited UK-specific evidence, insufficient integration of dimensions, lack of longitudinal studies (Hamakhan, 2020), and inadequate attention to customer diversity (Kumar et al., 2023), proposing a future research agenda addressing these gaps through integrated frameworks and UK-focused empirical investigations.</w:t>
      </w:r>
    </w:p>
    <w:p w14:paraId="2BE4B220" w14:textId="77777777" w:rsidR="00491F46" w:rsidRPr="002E3ED0" w:rsidRDefault="00491F46" w:rsidP="00491F46">
      <w:pPr>
        <w:pStyle w:val="Heading2"/>
        <w:jc w:val="both"/>
      </w:pPr>
      <w:bookmarkStart w:id="64" w:name="_Toc238751512"/>
      <w:r w:rsidRPr="002E3ED0">
        <w:t>Linking Findings with Objectives</w:t>
      </w:r>
      <w:bookmarkEnd w:id="64"/>
    </w:p>
    <w:p w14:paraId="7F924831" w14:textId="77777777" w:rsidR="00491F46" w:rsidRPr="002E3ED0" w:rsidRDefault="00491F46" w:rsidP="00491F46">
      <w:pPr>
        <w:pStyle w:val="ds-markdown-paragraph"/>
        <w:widowControl w:val="0"/>
        <w:shd w:val="clear" w:color="auto" w:fill="FFFFFF"/>
        <w:spacing w:before="0" w:beforeAutospacing="0" w:after="0" w:afterAutospacing="0" w:line="360" w:lineRule="auto"/>
        <w:jc w:val="both"/>
        <w:rPr>
          <w:color w:val="0F1115"/>
        </w:rPr>
      </w:pPr>
      <w:r w:rsidRPr="002E3ED0">
        <w:rPr>
          <w:rStyle w:val="Strong"/>
          <w:color w:val="0F1115"/>
        </w:rPr>
        <w:t>Objective 1: To identify how technological factors influence customer trust and security perception.</w:t>
      </w:r>
    </w:p>
    <w:p w14:paraId="29E88673" w14:textId="384DD61B" w:rsidR="00491F46" w:rsidRPr="002E3ED0" w:rsidRDefault="00CD76BD" w:rsidP="00491F46">
      <w:pPr>
        <w:pStyle w:val="ds-markdown-paragraph"/>
        <w:widowControl w:val="0"/>
        <w:shd w:val="clear" w:color="auto" w:fill="FFFFFF"/>
        <w:spacing w:before="0" w:beforeAutospacing="0" w:after="0" w:afterAutospacing="0" w:line="360" w:lineRule="auto"/>
        <w:ind w:firstLine="720"/>
        <w:jc w:val="both"/>
        <w:rPr>
          <w:color w:val="0F1115"/>
          <w:highlight w:val="yellow"/>
        </w:rPr>
      </w:pPr>
      <w:r w:rsidRPr="002E3ED0">
        <w:rPr>
          <w:color w:val="0F1115"/>
        </w:rPr>
        <w:t>The results make it abundantly clear that technological aspects—including cybersecurity, data privacy, and system reliability—are key to customer trust. Customers are more satisfied with banks that employ robust security measures, such as multi-factor authentication and encryption. The study also found, however, that this trust is not universal. For instance, if a new technology is being introduced, say biometric authentication, a customer may not feel comfortable using it because they don't know what it is or have confidence in its reliability. After a failure in the Barclays IT system in 2025, the analysis revealed that "technological factors" cannot only include security features, but also stability and availability of the system, which directly impact the safety perception of a customer when using digital banking. This goal thus was achieved by demonstrating that security is essential, but it is not just a technical strength, but is an issue of system reliability, customer awareness and the way that technology is communicated.</w:t>
      </w:r>
    </w:p>
    <w:p w14:paraId="587AACFD" w14:textId="77777777" w:rsidR="00491F46" w:rsidRPr="002E3ED0" w:rsidRDefault="00491F46" w:rsidP="00491F46">
      <w:pPr>
        <w:pStyle w:val="ds-markdown-paragraph"/>
        <w:widowControl w:val="0"/>
        <w:shd w:val="clear" w:color="auto" w:fill="FFFFFF"/>
        <w:spacing w:before="0" w:beforeAutospacing="0" w:after="0" w:afterAutospacing="0" w:line="360" w:lineRule="auto"/>
        <w:jc w:val="both"/>
        <w:rPr>
          <w:color w:val="0F1115"/>
        </w:rPr>
      </w:pPr>
      <w:r w:rsidRPr="002E3ED0">
        <w:rPr>
          <w:rStyle w:val="Strong"/>
          <w:color w:val="0F1115"/>
        </w:rPr>
        <w:t>Objective 2: To critically analyse how behavioural factors impact overall trust and whether this varies across different customer demographics.</w:t>
      </w:r>
    </w:p>
    <w:p w14:paraId="754B3D20" w14:textId="46A45D06" w:rsidR="00491F46" w:rsidRPr="002E3ED0" w:rsidRDefault="00CD76BD" w:rsidP="00491F46">
      <w:pPr>
        <w:pStyle w:val="ds-markdown-paragraph"/>
        <w:widowControl w:val="0"/>
        <w:shd w:val="clear" w:color="auto" w:fill="FFFFFF"/>
        <w:spacing w:before="0" w:beforeAutospacing="0" w:after="0" w:afterAutospacing="0" w:line="360" w:lineRule="auto"/>
        <w:ind w:firstLine="720"/>
        <w:jc w:val="both"/>
        <w:rPr>
          <w:color w:val="0F1115"/>
          <w:highlight w:val="yellow"/>
        </w:rPr>
      </w:pPr>
      <w:r w:rsidRPr="002E3ED0">
        <w:rPr>
          <w:color w:val="0F1115"/>
        </w:rPr>
        <w:lastRenderedPageBreak/>
        <w:t>The results indicate that perceived risk is a strong determinant of trust, particularly behavioural risk factors. The study shows that risk and trust are not opposites but are separate feelings. For example, a customer may be satisfied with their bank overall, but may still be concerned about fraud</w:t>
      </w:r>
      <w:r w:rsidR="009B174A" w:rsidRPr="002E3ED0">
        <w:rPr>
          <w:color w:val="0F1115"/>
        </w:rPr>
        <w:t>,</w:t>
      </w:r>
      <w:r w:rsidRPr="002E3ED0">
        <w:rPr>
          <w:color w:val="0F1115"/>
        </w:rPr>
        <w:t xml:space="preserve"> and this concern may prevent them from using the bank. The analysis also found </w:t>
      </w:r>
      <w:r w:rsidR="009B174A" w:rsidRPr="002E3ED0">
        <w:rPr>
          <w:color w:val="0F1115"/>
        </w:rPr>
        <w:t xml:space="preserve">that </w:t>
      </w:r>
      <w:r w:rsidRPr="002E3ED0">
        <w:rPr>
          <w:color w:val="0F1115"/>
        </w:rPr>
        <w:t>this feeling of risk is not uniform across all. UK-specific evidence indicates that it's more crucial to reduce the fear of risk and not only to build more trust for older customers (55 years of age and above). The review also identified a number of factors that are important, such as digital literacy and previous experience of technology – those who are more comfortable with digital tools are more confident. The evidence was mixed and predominantly from outside the UK, however, and it was difficult to conclude the extent to which UK demographics (such as age or income) drive trust. The final goal was accomplished by demonstrating that trust is a personal, psychological choice influenced by fear, experience and confidence and that a single trust fit for all customers does not exist.</w:t>
      </w:r>
    </w:p>
    <w:p w14:paraId="6274DEF2" w14:textId="77777777" w:rsidR="00491F46" w:rsidRPr="002E3ED0" w:rsidRDefault="00491F46" w:rsidP="00491F46">
      <w:pPr>
        <w:pStyle w:val="ds-markdown-paragraph"/>
        <w:widowControl w:val="0"/>
        <w:shd w:val="clear" w:color="auto" w:fill="FFFFFF"/>
        <w:spacing w:before="0" w:beforeAutospacing="0" w:after="0" w:afterAutospacing="0" w:line="360" w:lineRule="auto"/>
        <w:jc w:val="both"/>
        <w:rPr>
          <w:color w:val="0F1115"/>
        </w:rPr>
      </w:pPr>
      <w:r w:rsidRPr="002E3ED0">
        <w:rPr>
          <w:rStyle w:val="Strong"/>
          <w:color w:val="0F1115"/>
        </w:rPr>
        <w:t>Objective 3: To critically examine research gaps and propose a future research agenda.</w:t>
      </w:r>
    </w:p>
    <w:p w14:paraId="3899E087" w14:textId="1AAC4475" w:rsidR="00491F46" w:rsidRPr="002E3ED0" w:rsidRDefault="00CD76BD" w:rsidP="00491F46">
      <w:pPr>
        <w:pStyle w:val="ds-markdown-paragraph"/>
        <w:widowControl w:val="0"/>
        <w:shd w:val="clear" w:color="auto" w:fill="FFFFFF"/>
        <w:spacing w:before="0" w:beforeAutospacing="0" w:after="0" w:afterAutospacing="0" w:line="360" w:lineRule="auto"/>
        <w:ind w:firstLine="720"/>
        <w:jc w:val="both"/>
        <w:rPr>
          <w:color w:val="0F1115"/>
          <w:highlight w:val="yellow"/>
        </w:rPr>
      </w:pPr>
      <w:r w:rsidRPr="002E3ED0">
        <w:rPr>
          <w:color w:val="0F1115"/>
        </w:rPr>
        <w:t>The results identified some key gaps. Most studies examine only one component (e.g., technological, behavioural or regulatory) while only very few studies consider all the components together (technological, behavioural and regulatory), although in real life all of them are connected to each other. Second, most of the research took place in other countries, and therefore results may not be perfectly relevant to the UK's specific policy of fraud refunds, or Open Banking. Third, nearly all the studies have been "snapshots" of one point in time, which are unable to capture the evolution of trust when a breach in security has occurred or a new rule has been introduced. Last but certainly not least, the regulatory theme was the least researched and the analysis even uncovered a possible downside: New rules to safeguard customers could make them less careful. To address these gaps, the study suggests an agenda for future research to create a more comprehensive and practical understanding of customer trust in digital banking services that involves further UK-based, long-term research and studies that incorporates all three factors (technology, behaviour and regulation).</w:t>
      </w:r>
    </w:p>
    <w:p w14:paraId="02476321" w14:textId="77777777" w:rsidR="00491F46" w:rsidRPr="002E3ED0" w:rsidRDefault="00491F46" w:rsidP="00491F46">
      <w:pPr>
        <w:pStyle w:val="Heading2"/>
      </w:pPr>
      <w:bookmarkStart w:id="65" w:name="_Toc238751513"/>
      <w:r w:rsidRPr="002E3ED0">
        <w:t>Recommendations</w:t>
      </w:r>
      <w:bookmarkEnd w:id="65"/>
    </w:p>
    <w:p w14:paraId="583C090A" w14:textId="2A917B29" w:rsidR="00CD76BD" w:rsidRPr="002E3ED0" w:rsidRDefault="00CD76BD" w:rsidP="00CD76BD">
      <w:pPr>
        <w:widowControl w:val="0"/>
        <w:shd w:val="clear" w:color="auto" w:fill="FFFFFF"/>
        <w:spacing w:line="360" w:lineRule="auto"/>
        <w:ind w:firstLine="720"/>
        <w:jc w:val="both"/>
        <w:rPr>
          <w:rFonts w:ascii="Times New Roman" w:eastAsia="Times New Roman" w:hAnsi="Times New Roman" w:cs="Times New Roman"/>
          <w:color w:val="0F1115"/>
          <w:sz w:val="24"/>
          <w:szCs w:val="24"/>
        </w:rPr>
      </w:pPr>
      <w:r w:rsidRPr="002E3ED0">
        <w:rPr>
          <w:rFonts w:ascii="Times New Roman" w:eastAsia="Times New Roman" w:hAnsi="Times New Roman" w:cs="Times New Roman"/>
          <w:color w:val="0F1115"/>
          <w:sz w:val="24"/>
          <w:szCs w:val="24"/>
        </w:rPr>
        <w:t>The results indicate that customers aren't necessarily more likely to trust a bank if it has robust security technology. However, trust comes down to the customers</w:t>
      </w:r>
      <w:r w:rsidR="009B174A" w:rsidRPr="002E3ED0">
        <w:rPr>
          <w:rFonts w:ascii="Times New Roman" w:eastAsia="Times New Roman" w:hAnsi="Times New Roman" w:cs="Times New Roman"/>
          <w:color w:val="0F1115"/>
          <w:sz w:val="24"/>
          <w:szCs w:val="24"/>
        </w:rPr>
        <w:t>'</w:t>
      </w:r>
      <w:r w:rsidRPr="002E3ED0">
        <w:rPr>
          <w:rFonts w:ascii="Times New Roman" w:eastAsia="Times New Roman" w:hAnsi="Times New Roman" w:cs="Times New Roman"/>
          <w:color w:val="0F1115"/>
          <w:sz w:val="24"/>
          <w:szCs w:val="24"/>
        </w:rPr>
        <w:t xml:space="preserve"> understanding and being able to see the security at work. This is a chance for UK banks to go beyond just installing security </w:t>
      </w:r>
      <w:r w:rsidRPr="002E3ED0">
        <w:rPr>
          <w:rFonts w:ascii="Times New Roman" w:eastAsia="Times New Roman" w:hAnsi="Times New Roman" w:cs="Times New Roman"/>
          <w:color w:val="0F1115"/>
          <w:sz w:val="24"/>
          <w:szCs w:val="24"/>
        </w:rPr>
        <w:lastRenderedPageBreak/>
        <w:t>tools and start communicating them in detail to people in a way that they can understand. Banks can also offer clear and simple information on the introduction of biometric authentication or encryption, for instance in short videos, app notifications or easy-read guides, about how these features protect customers.</w:t>
      </w:r>
    </w:p>
    <w:p w14:paraId="1233B28E" w14:textId="2709DB30" w:rsidR="00CD76BD" w:rsidRPr="002E3ED0" w:rsidRDefault="00CD76BD" w:rsidP="00CD76BD">
      <w:pPr>
        <w:widowControl w:val="0"/>
        <w:shd w:val="clear" w:color="auto" w:fill="FFFFFF"/>
        <w:spacing w:line="360" w:lineRule="auto"/>
        <w:ind w:firstLine="720"/>
        <w:jc w:val="both"/>
        <w:rPr>
          <w:rFonts w:ascii="Times New Roman" w:eastAsia="Times New Roman" w:hAnsi="Times New Roman" w:cs="Times New Roman"/>
          <w:color w:val="0F1115"/>
          <w:sz w:val="24"/>
          <w:szCs w:val="24"/>
        </w:rPr>
      </w:pPr>
      <w:r w:rsidRPr="002E3ED0">
        <w:rPr>
          <w:rFonts w:ascii="Times New Roman" w:eastAsia="Times New Roman" w:hAnsi="Times New Roman" w:cs="Times New Roman"/>
          <w:color w:val="0F1115"/>
          <w:sz w:val="24"/>
          <w:szCs w:val="24"/>
        </w:rPr>
        <w:t xml:space="preserve">More significantly, the lessons learned from the Barclays IT failure illustrate what it means to have a reliable system and guarantee its uptime—both are as important as preventing fraud. Even if there is no fraud, customers lose trust </w:t>
      </w:r>
      <w:r w:rsidR="009B174A" w:rsidRPr="002E3ED0">
        <w:rPr>
          <w:rFonts w:ascii="Times New Roman" w:eastAsia="Times New Roman" w:hAnsi="Times New Roman" w:cs="Times New Roman"/>
          <w:color w:val="0F1115"/>
          <w:sz w:val="24"/>
          <w:szCs w:val="24"/>
        </w:rPr>
        <w:t>i</w:t>
      </w:r>
      <w:r w:rsidRPr="002E3ED0">
        <w:rPr>
          <w:rFonts w:ascii="Times New Roman" w:eastAsia="Times New Roman" w:hAnsi="Times New Roman" w:cs="Times New Roman"/>
          <w:color w:val="0F1115"/>
          <w:sz w:val="24"/>
          <w:szCs w:val="24"/>
        </w:rPr>
        <w:t>n their money if it is not accessible. This means banks need to put significant investments in the design and operation of strong IT systems, and they must be open about any outages and what caused them, as well as how they are resolving the issue. Banks can establish a more comprehensive and authentic level of trust with customers by directly sharing information on security and system stability.</w:t>
      </w:r>
    </w:p>
    <w:p w14:paraId="6455B6F8" w14:textId="3B3720F1" w:rsidR="00CD76BD" w:rsidRPr="002E3ED0" w:rsidRDefault="00CD76BD" w:rsidP="00CD76BD">
      <w:pPr>
        <w:widowControl w:val="0"/>
        <w:shd w:val="clear" w:color="auto" w:fill="FFFFFF"/>
        <w:spacing w:line="360" w:lineRule="auto"/>
        <w:ind w:firstLine="720"/>
        <w:jc w:val="both"/>
        <w:rPr>
          <w:rFonts w:ascii="Times New Roman" w:eastAsia="Times New Roman" w:hAnsi="Times New Roman" w:cs="Times New Roman"/>
          <w:color w:val="0F1115"/>
          <w:sz w:val="24"/>
          <w:szCs w:val="24"/>
        </w:rPr>
      </w:pPr>
      <w:r w:rsidRPr="002E3ED0">
        <w:rPr>
          <w:rFonts w:ascii="Times New Roman" w:eastAsia="Times New Roman" w:hAnsi="Times New Roman" w:cs="Times New Roman"/>
          <w:color w:val="0F1115"/>
          <w:sz w:val="24"/>
          <w:szCs w:val="24"/>
        </w:rPr>
        <w:t xml:space="preserve">The results are clear: There is a distinction between perceived risk and trust, and for more mature customers in the UK, mitigating perceived risk is a more significant issue than boosting overall trust in the bank. That is, it is not possible for banks to adopt the same marketing or education approach to all customers. Banks should provide hands-on assistance for older customers or for the less technologically savvy, such as an in-bank digital assistance session, a phone or verbal guide to navigating the app, or a user-friendly application design with prominent safety features. The review also determined that digital confidence is not a fixed attribute, but can be acquired through experience and sound onboarding. Step-by-step tutorials and easily-accessed customer service can make banks more welcoming to those </w:t>
      </w:r>
      <w:r w:rsidR="009B174A" w:rsidRPr="002E3ED0">
        <w:rPr>
          <w:rFonts w:ascii="Times New Roman" w:eastAsia="Times New Roman" w:hAnsi="Times New Roman" w:cs="Times New Roman"/>
          <w:color w:val="0F1115"/>
          <w:sz w:val="24"/>
          <w:szCs w:val="24"/>
        </w:rPr>
        <w:t>who</w:t>
      </w:r>
      <w:r w:rsidRPr="002E3ED0">
        <w:rPr>
          <w:rFonts w:ascii="Times New Roman" w:eastAsia="Times New Roman" w:hAnsi="Times New Roman" w:cs="Times New Roman"/>
          <w:color w:val="0F1115"/>
          <w:sz w:val="24"/>
          <w:szCs w:val="24"/>
        </w:rPr>
        <w:t xml:space="preserve"> are less confident. This customization will allow various groups of customers to gain trust at an appropriate rate, rather than taking a "one size fits all" approach.</w:t>
      </w:r>
    </w:p>
    <w:p w14:paraId="47592993" w14:textId="4CF79D29" w:rsidR="00CD76BD" w:rsidRPr="002E3ED0" w:rsidRDefault="00CD76BD" w:rsidP="00CD76BD">
      <w:pPr>
        <w:widowControl w:val="0"/>
        <w:shd w:val="clear" w:color="auto" w:fill="FFFFFF"/>
        <w:spacing w:line="360" w:lineRule="auto"/>
        <w:ind w:firstLine="720"/>
        <w:jc w:val="both"/>
        <w:rPr>
          <w:rFonts w:ascii="Times New Roman" w:eastAsia="Times New Roman" w:hAnsi="Times New Roman" w:cs="Times New Roman"/>
          <w:color w:val="0F1115"/>
          <w:sz w:val="24"/>
          <w:szCs w:val="24"/>
        </w:rPr>
      </w:pPr>
      <w:r w:rsidRPr="002E3ED0">
        <w:rPr>
          <w:rFonts w:ascii="Times New Roman" w:eastAsia="Times New Roman" w:hAnsi="Times New Roman" w:cs="Times New Roman"/>
          <w:color w:val="0F1115"/>
          <w:sz w:val="24"/>
          <w:szCs w:val="24"/>
        </w:rPr>
        <w:t xml:space="preserve">One key and surprising insight from this Review has been that, although the UK's mandatory fraud reimbursement scheme ensures that customers aren't losing out if they fall for a scam, it could also be having an adverse effect on customer activity and awareness. When customers are aware that they will receive their money back, they may be less careful with providing their personal information or clicking on suspicious links, thus increasing fraud attempts. Thus, the Payment Systems Regulator and the Financial Conduct Authority, as regulators, should pay close attention to how this "moral hazard" is managed by banks. This may include monitoring for more reports of fraud by customers who have been reimbursed for the fraud. </w:t>
      </w:r>
    </w:p>
    <w:p w14:paraId="70F04CA6" w14:textId="640FCE01" w:rsidR="00491F46" w:rsidRPr="002E3ED0" w:rsidRDefault="00CD76BD" w:rsidP="00CD76BD">
      <w:pPr>
        <w:widowControl w:val="0"/>
        <w:shd w:val="clear" w:color="auto" w:fill="FFFFFF"/>
        <w:spacing w:line="360" w:lineRule="auto"/>
        <w:ind w:firstLine="720"/>
        <w:jc w:val="both"/>
        <w:rPr>
          <w:rFonts w:ascii="Times New Roman" w:eastAsia="Times New Roman" w:hAnsi="Times New Roman" w:cs="Times New Roman"/>
          <w:color w:val="0F1115"/>
          <w:sz w:val="24"/>
          <w:szCs w:val="24"/>
          <w:highlight w:val="yellow"/>
        </w:rPr>
      </w:pPr>
      <w:r w:rsidRPr="002E3ED0">
        <w:rPr>
          <w:rFonts w:ascii="Times New Roman" w:eastAsia="Times New Roman" w:hAnsi="Times New Roman" w:cs="Times New Roman"/>
          <w:color w:val="0F1115"/>
          <w:sz w:val="24"/>
          <w:szCs w:val="24"/>
        </w:rPr>
        <w:t xml:space="preserve">Meanwhile, banks should keep running awareness-raising campaigns on which remind </w:t>
      </w:r>
      <w:r w:rsidRPr="002E3ED0">
        <w:rPr>
          <w:rFonts w:ascii="Times New Roman" w:eastAsia="Times New Roman" w:hAnsi="Times New Roman" w:cs="Times New Roman"/>
          <w:color w:val="0F1115"/>
          <w:sz w:val="24"/>
          <w:szCs w:val="24"/>
        </w:rPr>
        <w:lastRenderedPageBreak/>
        <w:t>their customers of their responsibility in staying safe even when covered. This review also noted the rules in place are limited to Faster Payments, resulting in gaps in protection. Regulators should promote a more comprehensive scheme to include other payment methods, and develop a more consistent regime for all payment methods. The ultimate aim is to create a regulatory system that will empower the customer while not leading to complacency on their part, and create a system of security that will be shared between the bank and the customer.</w:t>
      </w:r>
    </w:p>
    <w:p w14:paraId="5D2CF887" w14:textId="77777777" w:rsidR="00491F46" w:rsidRPr="002E3ED0" w:rsidRDefault="00491F46" w:rsidP="00491F46">
      <w:pPr>
        <w:pStyle w:val="Heading2"/>
      </w:pPr>
      <w:bookmarkStart w:id="66" w:name="_Toc238751514"/>
      <w:r w:rsidRPr="002E3ED0">
        <w:t>Research Limitations</w:t>
      </w:r>
      <w:bookmarkEnd w:id="66"/>
    </w:p>
    <w:p w14:paraId="6516AF63" w14:textId="5254FF0B" w:rsidR="00CD76BD" w:rsidRPr="002E3ED0" w:rsidRDefault="00CD76BD" w:rsidP="00CD76BD">
      <w:pPr>
        <w:widowControl w:val="0"/>
        <w:shd w:val="clear" w:color="auto" w:fill="FFFFFF"/>
        <w:spacing w:line="360" w:lineRule="auto"/>
        <w:ind w:firstLine="720"/>
        <w:jc w:val="both"/>
        <w:rPr>
          <w:rFonts w:ascii="Times New Roman" w:eastAsia="Times New Roman" w:hAnsi="Times New Roman" w:cs="Times New Roman"/>
          <w:color w:val="0F1115"/>
          <w:sz w:val="24"/>
          <w:szCs w:val="24"/>
        </w:rPr>
      </w:pPr>
      <w:r w:rsidRPr="002E3ED0">
        <w:rPr>
          <w:rFonts w:ascii="Times New Roman" w:eastAsia="Times New Roman" w:hAnsi="Times New Roman" w:cs="Times New Roman"/>
          <w:color w:val="0F1115"/>
          <w:sz w:val="24"/>
          <w:szCs w:val="24"/>
        </w:rPr>
        <w:t xml:space="preserve">There are a number of important limitations associated with this systematic literature review that should be noted. First, the review focused only on those studies published in English between 2020 and 2026, excluding studies that were published in languages other than English or outside this time frame, and this might have led to the omission of valuable insights. Second, the majority of the studies included in the research were conducted in different countries, with a focus on countries outside the UK where the regulatory landscape, customer expectations, and digital banking maturity are different. Many of the findings are not directly applicable to UK customers. </w:t>
      </w:r>
    </w:p>
    <w:p w14:paraId="44C2328E" w14:textId="3253590F" w:rsidR="00491F46" w:rsidRPr="002E3ED0" w:rsidRDefault="00CD76BD" w:rsidP="00CD76BD">
      <w:pPr>
        <w:widowControl w:val="0"/>
        <w:shd w:val="clear" w:color="auto" w:fill="FFFFFF"/>
        <w:spacing w:line="360" w:lineRule="auto"/>
        <w:ind w:firstLine="720"/>
        <w:jc w:val="both"/>
        <w:rPr>
          <w:rFonts w:ascii="Times New Roman" w:eastAsia="Times New Roman" w:hAnsi="Times New Roman" w:cs="Times New Roman"/>
          <w:color w:val="0F1115"/>
          <w:sz w:val="24"/>
          <w:szCs w:val="24"/>
          <w:highlight w:val="yellow"/>
        </w:rPr>
      </w:pPr>
      <w:r w:rsidRPr="002E3ED0">
        <w:rPr>
          <w:rFonts w:ascii="Times New Roman" w:eastAsia="Times New Roman" w:hAnsi="Times New Roman" w:cs="Times New Roman"/>
          <w:color w:val="0F1115"/>
          <w:sz w:val="24"/>
          <w:szCs w:val="24"/>
        </w:rPr>
        <w:t>Third, only secondary data from published information was considered in the review, which will therefore be subject to the same biases, methodological problems and gaps found in the original studies. Fourth, the fewest studies were conducted on the regulatory theme, which made it hard to come to any definitive conclusions about what UK customers think and feel about the regulatory protections that are in place, such as the fraud reimbursement scheme. Lastly, the majority of the studies included in this review employed cross-sectional survey designs, which only provide trust as a snapshot in time and do not directly account for the processes of trust construction, evolution and recovery from security events and changes in the regulatory environment over time.</w:t>
      </w:r>
    </w:p>
    <w:p w14:paraId="691A4CFF" w14:textId="77777777" w:rsidR="00491F46" w:rsidRPr="002E3ED0" w:rsidRDefault="00491F46" w:rsidP="00491F46">
      <w:pPr>
        <w:pStyle w:val="Heading2"/>
      </w:pPr>
      <w:bookmarkStart w:id="67" w:name="_Toc238751515"/>
      <w:r w:rsidRPr="002E3ED0">
        <w:t>Future Research Directions</w:t>
      </w:r>
      <w:bookmarkEnd w:id="67"/>
    </w:p>
    <w:p w14:paraId="4383F463" w14:textId="77777777" w:rsidR="00CD76BD" w:rsidRPr="002E3ED0" w:rsidRDefault="00CD76BD" w:rsidP="00CD76BD">
      <w:pPr>
        <w:widowControl w:val="0"/>
        <w:shd w:val="clear" w:color="auto" w:fill="FFFFFF"/>
        <w:spacing w:line="360" w:lineRule="auto"/>
        <w:ind w:firstLine="720"/>
        <w:jc w:val="both"/>
        <w:rPr>
          <w:rFonts w:ascii="Times New Roman" w:eastAsia="Times New Roman" w:hAnsi="Times New Roman" w:cs="Times New Roman"/>
          <w:color w:val="0F1115"/>
          <w:sz w:val="24"/>
          <w:szCs w:val="24"/>
        </w:rPr>
      </w:pPr>
      <w:r w:rsidRPr="002E3ED0">
        <w:rPr>
          <w:rFonts w:ascii="Times New Roman" w:eastAsia="Times New Roman" w:hAnsi="Times New Roman" w:cs="Times New Roman"/>
          <w:color w:val="0F1115"/>
          <w:sz w:val="24"/>
          <w:szCs w:val="24"/>
        </w:rPr>
        <w:t xml:space="preserve">The identified gaps suggest a few key research directions for the future. There is a pressing need for further empirical research which directly addresses customer trust and security perception in a uniquely British digital banking environment, encompassing Open Banking, the Payment Systems Regulator's rules on reimbursement of fraud, and the Digital Operational Resilience Act (DORA). Second, future studies need to take a more holistic perspective on how technological, behavioural and regulatory factors are simultaneously acting and interact with each other, but the current literature is fragmented. </w:t>
      </w:r>
    </w:p>
    <w:p w14:paraId="3842EE29" w14:textId="384348B7" w:rsidR="00491F46" w:rsidRPr="002E3ED0" w:rsidRDefault="00CD76BD" w:rsidP="00CD76BD">
      <w:pPr>
        <w:widowControl w:val="0"/>
        <w:shd w:val="clear" w:color="auto" w:fill="FFFFFF"/>
        <w:spacing w:line="360" w:lineRule="auto"/>
        <w:ind w:firstLine="720"/>
        <w:jc w:val="both"/>
        <w:rPr>
          <w:rFonts w:ascii="Times New Roman" w:eastAsia="Times New Roman" w:hAnsi="Times New Roman" w:cs="Times New Roman"/>
          <w:color w:val="0F1115"/>
          <w:sz w:val="24"/>
          <w:szCs w:val="24"/>
          <w:highlight w:val="yellow"/>
        </w:rPr>
      </w:pPr>
      <w:r w:rsidRPr="002E3ED0">
        <w:rPr>
          <w:rFonts w:ascii="Times New Roman" w:eastAsia="Times New Roman" w:hAnsi="Times New Roman" w:cs="Times New Roman"/>
          <w:color w:val="0F1115"/>
          <w:sz w:val="24"/>
          <w:szCs w:val="24"/>
        </w:rPr>
        <w:lastRenderedPageBreak/>
        <w:t>Third, longitudinal studies are sorely needed to see how customer trust evolves over time, especially after significant changes in security (bigger security breaches, IT failures, changes in regulations etc). What the longitudinal studies reveal will be very different from that which can be gleaned from the cross section surveys. Fourth, researchers should examine the possible moral hazard effect of fraud reimbursement schemes to check whether the customers' own precautions are actually lessened when guaranteed protection is offered, based on behavioural data. Fifth, there should be greater focus on demographic diversity, examining the influence of variables such as age, digital literacy, income and education on trust, and how this may vary across segments to help banks create strategies to build trust with different customers. Finally, comparative studies with other developed countries which share a similar regulatory context with the UK would assist in distinguishing between the trust drivers that are generally relevant across countries and those that are specific to the UK.</w:t>
      </w:r>
    </w:p>
    <w:p w14:paraId="7AB770FC" w14:textId="77777777" w:rsidR="00491F46" w:rsidRPr="002E3ED0" w:rsidRDefault="00491F46" w:rsidP="00491F46">
      <w:pPr>
        <w:widowControl w:val="0"/>
        <w:spacing w:line="360" w:lineRule="auto"/>
        <w:jc w:val="both"/>
        <w:rPr>
          <w:rFonts w:ascii="Times New Roman" w:eastAsia="Times New Roman" w:hAnsi="Times New Roman" w:cs="Times New Roman"/>
          <w:b/>
          <w:bCs/>
          <w:sz w:val="24"/>
          <w:szCs w:val="24"/>
        </w:rPr>
      </w:pPr>
      <w:r w:rsidRPr="002E3ED0">
        <w:rPr>
          <w:rFonts w:ascii="Times New Roman" w:hAnsi="Times New Roman" w:cs="Times New Roman"/>
        </w:rPr>
        <w:br w:type="page"/>
      </w:r>
    </w:p>
    <w:p w14:paraId="6A76686F" w14:textId="77777777" w:rsidR="00EA4B6B" w:rsidRPr="002E3ED0" w:rsidRDefault="00EA4B6B" w:rsidP="00875014">
      <w:pPr>
        <w:pStyle w:val="Heading1"/>
        <w:numPr>
          <w:ilvl w:val="0"/>
          <w:numId w:val="0"/>
        </w:numPr>
        <w:rPr>
          <w:color w:val="auto"/>
        </w:rPr>
      </w:pPr>
      <w:bookmarkStart w:id="68" w:name="_Toc238751516"/>
      <w:r w:rsidRPr="002E3ED0">
        <w:rPr>
          <w:color w:val="auto"/>
        </w:rPr>
        <w:lastRenderedPageBreak/>
        <w:t>References</w:t>
      </w:r>
      <w:bookmarkEnd w:id="68"/>
    </w:p>
    <w:p w14:paraId="7E4FC57B"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Abiola, O.B. (2023) 'Exploring Mobile Banking App Security from Users' Perspectives', </w:t>
      </w:r>
      <w:r w:rsidRPr="002E3ED0">
        <w:rPr>
          <w:rStyle w:val="Emphasis"/>
          <w:color w:val="0F1115"/>
        </w:rPr>
        <w:t>International Journal for Information Security Research</w:t>
      </w:r>
      <w:r w:rsidRPr="002E3ED0">
        <w:rPr>
          <w:color w:val="0F1115"/>
        </w:rPr>
        <w:t>, 13(1), pp.1077–1084.</w:t>
      </w:r>
    </w:p>
    <w:p w14:paraId="5557E9EE"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Adler, R.H. (2022) 'Trustworthiness in qualitative research', </w:t>
      </w:r>
      <w:r w:rsidRPr="002E3ED0">
        <w:rPr>
          <w:rStyle w:val="Emphasis"/>
          <w:color w:val="0F1115"/>
        </w:rPr>
        <w:t>Journal of Human Lactation</w:t>
      </w:r>
      <w:r w:rsidRPr="002E3ED0">
        <w:rPr>
          <w:color w:val="0F1115"/>
        </w:rPr>
        <w:t>, 38(4), pp.598-602.</w:t>
      </w:r>
    </w:p>
    <w:p w14:paraId="28B63F2E"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Afzal, M., Ansari, M.S., Ahmad, N., Shahid, M. and Shoeb, M. (2024) 'Cyberfraud, usage intention, and cybersecurity awareness among e-banking users in India: An integrated model approach', </w:t>
      </w:r>
      <w:r w:rsidRPr="002E3ED0">
        <w:rPr>
          <w:rStyle w:val="Emphasis"/>
          <w:color w:val="0F1115"/>
        </w:rPr>
        <w:t>Journal of Financial Services Marketing</w:t>
      </w:r>
      <w:r w:rsidRPr="002E3ED0">
        <w:rPr>
          <w:color w:val="0F1115"/>
        </w:rPr>
        <w:t>. doi:10.1057/s41264-024-00279-3.</w:t>
      </w:r>
    </w:p>
    <w:p w14:paraId="72A29AE1"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Aldboush, H.H.H. and Ferdous, M. (2023) 'Building trust in fintech: an analysis of ethical and privacy considerations in the intersection of big data, AI, and customer trust', </w:t>
      </w:r>
      <w:r w:rsidRPr="002E3ED0">
        <w:rPr>
          <w:rStyle w:val="Emphasis"/>
          <w:color w:val="0F1115"/>
        </w:rPr>
        <w:t>International Journal of Financial Studies</w:t>
      </w:r>
      <w:r w:rsidRPr="002E3ED0">
        <w:rPr>
          <w:color w:val="0F1115"/>
        </w:rPr>
        <w:t>, 11(3), 90. doi:10.3390/ijfs11030090.</w:t>
      </w:r>
    </w:p>
    <w:p w14:paraId="631C9B67"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Ali, A., Hameed, A., Moin, M.F. and Khan, N.A. (2023) 'Exploring factors affecting mobile-banking app adoption: a perspective from adaptive structuration theory', </w:t>
      </w:r>
      <w:r w:rsidRPr="002E3ED0">
        <w:rPr>
          <w:rStyle w:val="Emphasis"/>
          <w:color w:val="0F1115"/>
        </w:rPr>
        <w:t>Aslib Journal of Information Management</w:t>
      </w:r>
      <w:r w:rsidRPr="002E3ED0">
        <w:rPr>
          <w:color w:val="0F1115"/>
        </w:rPr>
        <w:t>, 75(4), pp.773-795. doi:10.1108/AJIM-08-2021-0216.</w:t>
      </w:r>
    </w:p>
    <w:p w14:paraId="5B82AD63"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Almaiah, M.A., Al-Rahmi, A.M., Alturise, F., Alrawad, M., Alkhalaf, S., Lutfi, A., Al-Rahmi, W.M. and Awad, A.B. (2022a) 'Factors influencing the adoption of internet banking: An integration of ISSM and UTAUT with price value and perceived risk', </w:t>
      </w:r>
      <w:r w:rsidRPr="002E3ED0">
        <w:rPr>
          <w:rStyle w:val="Emphasis"/>
          <w:color w:val="0F1115"/>
        </w:rPr>
        <w:t>Frontiers in Psychology</w:t>
      </w:r>
      <w:r w:rsidRPr="002E3ED0">
        <w:rPr>
          <w:color w:val="0F1115"/>
        </w:rPr>
        <w:t>, 13. doi:10.3389/fpsyg.2022.919198.</w:t>
      </w:r>
    </w:p>
    <w:p w14:paraId="3F42892E"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Almaiah, M.A., Al-Rahmi, A.M., Alturise, F., Hassan, M., Lutfi, A. and Alrawad, M. (2022b) 'Investigating the Effect of Perceived Security, Perceived Trust, and Information Quality on Mobile Banking Usage: An Empirical Study', </w:t>
      </w:r>
      <w:r w:rsidRPr="002E3ED0">
        <w:rPr>
          <w:rStyle w:val="Emphasis"/>
          <w:color w:val="0F1115"/>
        </w:rPr>
        <w:t>Electronics</w:t>
      </w:r>
      <w:r w:rsidRPr="002E3ED0">
        <w:rPr>
          <w:color w:val="0F1115"/>
        </w:rPr>
        <w:t>, 11(12), p.1896.</w:t>
      </w:r>
    </w:p>
    <w:p w14:paraId="769577DC"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Almaiah, M.A., Al-Rahmi, A., Alturise, F., Hassan, L., Lutfi, A., Alrawad, M., Alkhalaf, S., Al-Rahmi, W.M., Al-sharaieh, S. and Aldhyani, T.H.H. (2022c) 'Investigating the Effect of Perceived Security, Perceived Trust, and Information Quality on Mobile Payment Usage through Near-Field Communication (NFC) in Saudi Arabia', </w:t>
      </w:r>
      <w:r w:rsidRPr="002E3ED0">
        <w:rPr>
          <w:rStyle w:val="Emphasis"/>
          <w:color w:val="0F1115"/>
        </w:rPr>
        <w:t>Electronics</w:t>
      </w:r>
      <w:r w:rsidRPr="002E3ED0">
        <w:rPr>
          <w:color w:val="0F1115"/>
        </w:rPr>
        <w:t>, 11(23), p.3926. doi:10.3390/electronics11233926.</w:t>
      </w:r>
    </w:p>
    <w:p w14:paraId="5F241E11"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Al-Qudah, A.A., Al-Okaily, M., Shiyyab, F.S., Taha, A.A.D., Almajali, D.A., Masa'deh, R. and Warrad, L.H. (2024) 'Determinants of digital payment adoption among Generation Z: an empirical study', </w:t>
      </w:r>
      <w:r w:rsidRPr="002E3ED0">
        <w:rPr>
          <w:rStyle w:val="Emphasis"/>
          <w:color w:val="0F1115"/>
        </w:rPr>
        <w:t>Journal of Risk and Financial Management</w:t>
      </w:r>
      <w:r w:rsidRPr="002E3ED0">
        <w:rPr>
          <w:color w:val="0F1115"/>
        </w:rPr>
        <w:t>, 17(11), 521. doi:10.3390/jrfm17110521.</w:t>
      </w:r>
    </w:p>
    <w:p w14:paraId="07A268CB"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Aluwihare-Samaranayake, D. (2012) 'Ethics in qualitative research: A view of the participants' and researchers' world from a critical standpoint', </w:t>
      </w:r>
      <w:r w:rsidRPr="002E3ED0">
        <w:rPr>
          <w:rStyle w:val="Emphasis"/>
          <w:color w:val="0F1115"/>
        </w:rPr>
        <w:t>International Journal of Qualitative Methods</w:t>
      </w:r>
      <w:r w:rsidRPr="002E3ED0">
        <w:rPr>
          <w:color w:val="0F1115"/>
        </w:rPr>
        <w:t>, 11(2), pp.64-81.</w:t>
      </w:r>
    </w:p>
    <w:p w14:paraId="7C9AD576"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Amnas, M.B., Selvam, M., Raja, M., Santhoshkumar, S. and Parayitam, S. (2023) 'Understanding the determinants of fintech adoption: integrating UTAUT2 with trust theoretic model', </w:t>
      </w:r>
      <w:r w:rsidRPr="002E3ED0">
        <w:rPr>
          <w:rStyle w:val="Emphasis"/>
          <w:color w:val="0F1115"/>
        </w:rPr>
        <w:t>Journal of Risk and Financial Management</w:t>
      </w:r>
      <w:r w:rsidRPr="002E3ED0">
        <w:rPr>
          <w:color w:val="0F1115"/>
        </w:rPr>
        <w:t>, 16(12), 505. doi:10.3390/jrfm16120505.</w:t>
      </w:r>
    </w:p>
    <w:p w14:paraId="5AFC0607"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lastRenderedPageBreak/>
        <w:t>Apau, R., Titis, E. and Lallie, H.S. (2025a) 'Towards a better understanding of mobile banking app adoption and use: integrating security, risk, and trust into UTAUT2', </w:t>
      </w:r>
      <w:r w:rsidRPr="002E3ED0">
        <w:rPr>
          <w:rStyle w:val="Emphasis"/>
          <w:color w:val="0F1115"/>
        </w:rPr>
        <w:t>Computers</w:t>
      </w:r>
      <w:r w:rsidRPr="002E3ED0">
        <w:rPr>
          <w:color w:val="0F1115"/>
        </w:rPr>
        <w:t>, 14(4), p.144. doi:10.3390/computers14040144.</w:t>
      </w:r>
    </w:p>
    <w:p w14:paraId="1180259E"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Apau, R., Titis, E. and Lallie, H.S. (2025b) 'Understanding Digital Banking Adoption in the UK: An Extension of UTAUT2 with Security and Trust Factors', </w:t>
      </w:r>
      <w:r w:rsidRPr="002E3ED0">
        <w:rPr>
          <w:rStyle w:val="Emphasis"/>
          <w:color w:val="0F1115"/>
        </w:rPr>
        <w:t>Journal of Financial Services Research</w:t>
      </w:r>
      <w:r w:rsidRPr="002E3ED0">
        <w:rPr>
          <w:color w:val="0F1115"/>
        </w:rPr>
        <w:t>, 67(1), pp.45-78.</w:t>
      </w:r>
    </w:p>
    <w:p w14:paraId="7C2FE786"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Apaua, R. and Lallie, H.S. (2022) 'Measuring user perceived security of mobile banking applications', </w:t>
      </w:r>
      <w:r w:rsidRPr="002E3ED0">
        <w:rPr>
          <w:rStyle w:val="Emphasis"/>
          <w:color w:val="0F1115"/>
        </w:rPr>
        <w:t>Computers &amp; Security</w:t>
      </w:r>
      <w:r w:rsidRPr="002E3ED0">
        <w:rPr>
          <w:color w:val="0F1115"/>
        </w:rPr>
        <w:t>, 112, 102523. doi:10.1016/j.cose.2022.102523.</w:t>
      </w:r>
    </w:p>
    <w:p w14:paraId="54D20AAC"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Barjaktarovic Rakocevic, S., Rakic, N. and Rakocevic, R. (2025) 'An interplay between digital banking services, perceived risks, customers' expectations, and customers' satisfaction', </w:t>
      </w:r>
      <w:r w:rsidRPr="002E3ED0">
        <w:rPr>
          <w:rStyle w:val="Emphasis"/>
          <w:color w:val="0F1115"/>
        </w:rPr>
        <w:t>Risks</w:t>
      </w:r>
      <w:r w:rsidRPr="002E3ED0">
        <w:rPr>
          <w:color w:val="0F1115"/>
        </w:rPr>
        <w:t>, 13(3), 39. doi:10.3390/risks13030039.</w:t>
      </w:r>
    </w:p>
    <w:p w14:paraId="18F0403A"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Bhat, S.A., Islam, S.B. and Mir, M.F. (2024) 'Consumers' attitude toward biometric banking services: an empirical evaluation of determinants and outcomes', </w:t>
      </w:r>
      <w:r w:rsidRPr="002E3ED0">
        <w:rPr>
          <w:rStyle w:val="Emphasis"/>
          <w:color w:val="0F1115"/>
        </w:rPr>
        <w:t>Journal of Financial Services Marketing</w:t>
      </w:r>
      <w:r w:rsidRPr="002E3ED0">
        <w:rPr>
          <w:color w:val="0F1115"/>
        </w:rPr>
        <w:t>, 29(4), pp.1572-1588. doi:10.1057/s41264-024-00285-5.</w:t>
      </w:r>
    </w:p>
    <w:p w14:paraId="53DCBF72"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BQ (2025) </w:t>
      </w:r>
      <w:r w:rsidRPr="002E3ED0">
        <w:rPr>
          <w:rStyle w:val="Emphasis"/>
          <w:color w:val="0F1115"/>
        </w:rPr>
        <w:t>UK banks close branches as digital rises</w:t>
      </w:r>
      <w:r w:rsidRPr="002E3ED0">
        <w:rPr>
          <w:color w:val="0F1115"/>
        </w:rPr>
        <w:t>. Available at: </w:t>
      </w:r>
      <w:hyperlink r:id="rId11" w:tgtFrame="_blank" w:history="1">
        <w:r w:rsidRPr="002E3ED0">
          <w:rPr>
            <w:rStyle w:val="Hyperlink"/>
          </w:rPr>
          <w:t>https://businessquarter.co.uk/uk-banks-close-branches-as-digital-rises/</w:t>
        </w:r>
      </w:hyperlink>
      <w:r w:rsidRPr="002E3ED0">
        <w:rPr>
          <w:color w:val="0F1115"/>
        </w:rPr>
        <w:t> (Accessed: 12 July 2026).</w:t>
      </w:r>
    </w:p>
    <w:p w14:paraId="56A9521A"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Braithwaite, J. (2024) 'Authorized push payment bank fraud: what does an effective regulatory response look like?', </w:t>
      </w:r>
      <w:r w:rsidRPr="002E3ED0">
        <w:rPr>
          <w:rStyle w:val="Emphasis"/>
          <w:color w:val="0F1115"/>
        </w:rPr>
        <w:t>Journal of Financial Regulation</w:t>
      </w:r>
      <w:r w:rsidRPr="002E3ED0">
        <w:rPr>
          <w:color w:val="0F1115"/>
        </w:rPr>
        <w:t>, 10(2), pp.174-193. doi:10.1093/jfr/fjae006.</w:t>
      </w:r>
    </w:p>
    <w:p w14:paraId="38BF998B"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Braun, V. and Clarke, V. (2006) 'Using thematic analysis in psychology', </w:t>
      </w:r>
      <w:r w:rsidRPr="002E3ED0">
        <w:rPr>
          <w:rStyle w:val="Emphasis"/>
          <w:color w:val="0F1115"/>
        </w:rPr>
        <w:t>Qualitative Research in Psychology</w:t>
      </w:r>
      <w:r w:rsidRPr="002E3ED0">
        <w:rPr>
          <w:color w:val="0F1115"/>
        </w:rPr>
        <w:t>, 3(2), pp.77-101.</w:t>
      </w:r>
    </w:p>
    <w:p w14:paraId="29724B21"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Bryman, A. (2016) </w:t>
      </w:r>
      <w:r w:rsidRPr="002E3ED0">
        <w:rPr>
          <w:rStyle w:val="Emphasis"/>
          <w:color w:val="0F1115"/>
        </w:rPr>
        <w:t>Social Research Methods</w:t>
      </w:r>
      <w:r w:rsidRPr="002E3ED0">
        <w:rPr>
          <w:color w:val="0F1115"/>
        </w:rPr>
        <w:t>. 5th edn. Oxford: Oxford University Press.</w:t>
      </w:r>
    </w:p>
    <w:p w14:paraId="20B8FE77"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Bryman, A. and Bell, E. (2015) </w:t>
      </w:r>
      <w:r w:rsidRPr="002E3ED0">
        <w:rPr>
          <w:rStyle w:val="Emphasis"/>
          <w:color w:val="0F1115"/>
        </w:rPr>
        <w:t>Business Research Methods</w:t>
      </w:r>
      <w:r w:rsidRPr="002E3ED0">
        <w:rPr>
          <w:color w:val="0F1115"/>
        </w:rPr>
        <w:t>. 5th edn. Oxford: Oxford University Press.</w:t>
      </w:r>
    </w:p>
    <w:p w14:paraId="7406EE06"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Casula, M., Rangarajan, N. and Shields, P. (2021) 'The potential of working hypotheses for deductive exploratory research', </w:t>
      </w:r>
      <w:r w:rsidRPr="002E3ED0">
        <w:rPr>
          <w:rStyle w:val="Emphasis"/>
          <w:color w:val="0F1115"/>
        </w:rPr>
        <w:t>Quality &amp; Quantity</w:t>
      </w:r>
      <w:r w:rsidRPr="002E3ED0">
        <w:rPr>
          <w:color w:val="0F1115"/>
        </w:rPr>
        <w:t>, 55, pp.1703–1725.</w:t>
      </w:r>
    </w:p>
    <w:p w14:paraId="48E6515E"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Cele, N.N. and Kwenda, S. (2024) 'Do Cybersecurity Threats and Risks Have an Impact on the Adoption of Digital Banking? A Systematic Literature Review', </w:t>
      </w:r>
      <w:r w:rsidRPr="002E3ED0">
        <w:rPr>
          <w:rStyle w:val="Emphasis"/>
          <w:color w:val="0F1115"/>
        </w:rPr>
        <w:t>Journal of Financial Crime</w:t>
      </w:r>
      <w:r w:rsidRPr="002E3ED0">
        <w:rPr>
          <w:color w:val="0F1115"/>
        </w:rPr>
        <w:t>, 32(1). doi:10.1108/jfc-10-2023-0263.</w:t>
      </w:r>
    </w:p>
    <w:p w14:paraId="46CC6049"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Chang, C.H., Chan, W.Y. and Hsieh, Y.H. (2025a) 'Digital Banking Transformation and Customer Trust in the Post-Pandemic Era', </w:t>
      </w:r>
      <w:r w:rsidRPr="002E3ED0">
        <w:rPr>
          <w:rStyle w:val="Emphasis"/>
          <w:color w:val="0F1115"/>
        </w:rPr>
        <w:t>International Journal of Bank Marketing</w:t>
      </w:r>
      <w:r w:rsidRPr="002E3ED0">
        <w:rPr>
          <w:color w:val="0F1115"/>
        </w:rPr>
        <w:t>, 43(2), pp.215-238.</w:t>
      </w:r>
    </w:p>
    <w:p w14:paraId="2996A1E5"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lastRenderedPageBreak/>
        <w:t>Chang, W.-L., Chan, C.L. and Hsieh, Y.-H. (2025b) 'Antecedents of user satisfaction and trust in digital banking: An examination of the ISSM factors', </w:t>
      </w:r>
      <w:r w:rsidRPr="002E3ED0">
        <w:rPr>
          <w:rStyle w:val="Emphasis"/>
          <w:color w:val="0F1115"/>
        </w:rPr>
        <w:t>International Journal of Bank Marketing</w:t>
      </w:r>
      <w:r w:rsidRPr="002E3ED0">
        <w:rPr>
          <w:color w:val="0F1115"/>
        </w:rPr>
        <w:t>. doi:10.1108/ijbm-04-2024-0232.</w:t>
      </w:r>
    </w:p>
    <w:p w14:paraId="12CD8BB6"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Che, M., Say, S.Y.A., Yu, H. and Xu, H. (2023) 'Investigating customers' continuous trust towards mobile banking apps', </w:t>
      </w:r>
      <w:r w:rsidRPr="002E3ED0">
        <w:rPr>
          <w:rStyle w:val="Emphasis"/>
          <w:color w:val="0F1115"/>
        </w:rPr>
        <w:t>Humanities and Social Sciences Communications</w:t>
      </w:r>
      <w:r w:rsidRPr="002E3ED0">
        <w:rPr>
          <w:color w:val="0F1115"/>
        </w:rPr>
        <w:t>, 10, 960. doi:10.1057/s41599-023-02483-3.</w:t>
      </w:r>
    </w:p>
    <w:p w14:paraId="72757D76"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Chen, X. (2026) 'Does FinTech security matter for the stability of commercial banks?', </w:t>
      </w:r>
      <w:r w:rsidRPr="002E3ED0">
        <w:rPr>
          <w:rStyle w:val="Emphasis"/>
          <w:color w:val="0F1115"/>
        </w:rPr>
        <w:t>Research in International Business and Finance</w:t>
      </w:r>
      <w:r w:rsidRPr="002E3ED0">
        <w:rPr>
          <w:color w:val="0F1115"/>
        </w:rPr>
        <w:t>, 87, p.103405.</w:t>
      </w:r>
    </w:p>
    <w:p w14:paraId="205B087D"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Cologgi, M. (2023) 'The impact of regulation on retail payments security: evidence from Italian supervisory data', </w:t>
      </w:r>
      <w:r w:rsidRPr="002E3ED0">
        <w:rPr>
          <w:rStyle w:val="Emphasis"/>
          <w:color w:val="0F1115"/>
        </w:rPr>
        <w:t>Finance Research Letters</w:t>
      </w:r>
      <w:r w:rsidRPr="002E3ED0">
        <w:rPr>
          <w:color w:val="0F1115"/>
        </w:rPr>
        <w:t>, 54, 103799. doi:10.1016/j.frl.2023.103799.</w:t>
      </w:r>
    </w:p>
    <w:p w14:paraId="5F61572F"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Computer Weekly (2025) 'Big bank systems crashed for over 800 hours in last two years due to IT outages', </w:t>
      </w:r>
      <w:r w:rsidRPr="002E3ED0">
        <w:rPr>
          <w:rStyle w:val="Emphasis"/>
          <w:color w:val="0F1115"/>
        </w:rPr>
        <w:t>Computer Weekly</w:t>
      </w:r>
      <w:r w:rsidRPr="002E3ED0">
        <w:rPr>
          <w:color w:val="0F1115"/>
        </w:rPr>
        <w:t>, 28 February. Available at: </w:t>
      </w:r>
      <w:hyperlink r:id="rId12" w:tgtFrame="_blank" w:history="1">
        <w:r w:rsidRPr="002E3ED0">
          <w:rPr>
            <w:rStyle w:val="Hyperlink"/>
          </w:rPr>
          <w:t>https://www.computerweekly.com/news/366620352/Big-bank-systems-down-for-over-800-hours-in-last-two-years-due-to-IT-outages</w:t>
        </w:r>
      </w:hyperlink>
      <w:r w:rsidRPr="002E3ED0">
        <w:rPr>
          <w:color w:val="0F1115"/>
        </w:rPr>
        <w:t> (Accessed: 17 August 2026).</w:t>
      </w:r>
    </w:p>
    <w:p w14:paraId="345A939F"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Creswell, J.W. and Creswell, J.D. (2018) </w:t>
      </w:r>
      <w:r w:rsidRPr="002E3ED0">
        <w:rPr>
          <w:rStyle w:val="Emphasis"/>
          <w:color w:val="0F1115"/>
        </w:rPr>
        <w:t>Research Design: Qualitative, Quantitative, and Mixed Methods Approaches</w:t>
      </w:r>
      <w:r w:rsidRPr="002E3ED0">
        <w:rPr>
          <w:color w:val="0F1115"/>
        </w:rPr>
        <w:t>. 5th edn. Los Angeles: Sage Publications.</w:t>
      </w:r>
    </w:p>
    <w:p w14:paraId="11DE03AC"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Critical Appraisal Skills Programme (CASP) (2020) </w:t>
      </w:r>
      <w:r w:rsidRPr="002E3ED0">
        <w:rPr>
          <w:rStyle w:val="Emphasis"/>
          <w:color w:val="0F1115"/>
        </w:rPr>
        <w:t>CASP Checklists</w:t>
      </w:r>
      <w:r w:rsidRPr="002E3ED0">
        <w:rPr>
          <w:color w:val="0F1115"/>
        </w:rPr>
        <w:t>. Oxford: CASP.</w:t>
      </w:r>
    </w:p>
    <w:p w14:paraId="0D3F86D9"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Dabbous, A., Aoun Barakat, K. and Merhej Sayegh, M. (2020) 'Social Commerce Success: Antecedents of Purchase Intention and the Mediating Role of Trust', </w:t>
      </w:r>
      <w:r w:rsidRPr="002E3ED0">
        <w:rPr>
          <w:rStyle w:val="Emphasis"/>
          <w:color w:val="0F1115"/>
        </w:rPr>
        <w:t>Journal of Internet Commerce</w:t>
      </w:r>
      <w:r w:rsidRPr="002E3ED0">
        <w:rPr>
          <w:color w:val="0F1115"/>
        </w:rPr>
        <w:t>, 19(3), pp.1–36.</w:t>
      </w:r>
    </w:p>
    <w:p w14:paraId="5924F07F"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Davis, F.D. (1989) 'Perceived usefulness, perceived ease of use, and user acceptance of information technology', </w:t>
      </w:r>
      <w:r w:rsidRPr="002E3ED0">
        <w:rPr>
          <w:rStyle w:val="Emphasis"/>
          <w:color w:val="0F1115"/>
        </w:rPr>
        <w:t>MIS Quarterly</w:t>
      </w:r>
      <w:r w:rsidRPr="002E3ED0">
        <w:rPr>
          <w:color w:val="0F1115"/>
        </w:rPr>
        <w:t>, 13(3), pp.319-340.</w:t>
      </w:r>
    </w:p>
    <w:p w14:paraId="792B24C8"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Duxbury, D., Linares-Zegarra, J.M. and Verousis, T. (2025) 'Consumer financial literacy and habitual behaviour as drivers of contactless payment ownership', </w:t>
      </w:r>
      <w:r w:rsidRPr="002E3ED0">
        <w:rPr>
          <w:rStyle w:val="Emphasis"/>
          <w:color w:val="0F1115"/>
        </w:rPr>
        <w:t>The European Journal of Finance</w:t>
      </w:r>
      <w:r w:rsidRPr="002E3ED0">
        <w:rPr>
          <w:color w:val="0F1115"/>
        </w:rPr>
        <w:t>, pp.1-18. doi:10.1080/1351847X.2025.2517119.</w:t>
      </w:r>
    </w:p>
    <w:p w14:paraId="072EF509"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Fife, S.T. and Gossner, J.D. (2024) 'Deductive Qualitative Analysis: Evaluating, Expanding, and Refining Theory', </w:t>
      </w:r>
      <w:r w:rsidRPr="002E3ED0">
        <w:rPr>
          <w:rStyle w:val="Emphasis"/>
          <w:color w:val="0F1115"/>
        </w:rPr>
        <w:t>International Journal of Qualitative Methods</w:t>
      </w:r>
      <w:r w:rsidRPr="002E3ED0">
        <w:rPr>
          <w:color w:val="0F1115"/>
        </w:rPr>
        <w:t>, 23, pp.1–12.</w:t>
      </w:r>
    </w:p>
    <w:p w14:paraId="2F7B0ECC"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Garrouch, K. (2021) 'Does the reputation of the provider matter? A model explaining the continuance intention of mobile wallet applications', </w:t>
      </w:r>
      <w:r w:rsidRPr="002E3ED0">
        <w:rPr>
          <w:rStyle w:val="Emphasis"/>
          <w:color w:val="0F1115"/>
        </w:rPr>
        <w:t>Journal of Decision Systems</w:t>
      </w:r>
      <w:r w:rsidRPr="002E3ED0">
        <w:rPr>
          <w:color w:val="0F1115"/>
        </w:rPr>
        <w:t>, 30(2-3), pp.150-171. doi:10.1080/12460125.2020.1870261.</w:t>
      </w:r>
    </w:p>
    <w:p w14:paraId="1EF36840"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Garzaro, D.M., Varotto, L.F. and Pedro, S. de C. (2020) 'Internet and mobile banking: The role of engagement and experience on satisfaction and loyalty', </w:t>
      </w:r>
      <w:r w:rsidRPr="002E3ED0">
        <w:rPr>
          <w:rStyle w:val="Emphasis"/>
          <w:color w:val="0F1115"/>
        </w:rPr>
        <w:t>International Journal of Bank Marketing</w:t>
      </w:r>
      <w:r w:rsidRPr="002E3ED0">
        <w:rPr>
          <w:color w:val="0F1115"/>
        </w:rPr>
        <w:t>, 38(6), pp.1355-1374. doi:10.1108/ijbm-08-2020-0457.</w:t>
      </w:r>
    </w:p>
    <w:p w14:paraId="7AF3254E"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Hamakhan, S.A. (2020a) 'The Impact of Trust, Perceived Risk, and Security on Mobile Banking Adoption in the UK', </w:t>
      </w:r>
      <w:r w:rsidRPr="002E3ED0">
        <w:rPr>
          <w:rStyle w:val="Emphasis"/>
          <w:color w:val="0F1115"/>
        </w:rPr>
        <w:t>Journal of Financial Services Marketing</w:t>
      </w:r>
      <w:r w:rsidRPr="002E3ED0">
        <w:rPr>
          <w:color w:val="0F1115"/>
        </w:rPr>
        <w:t>, 25(3), pp.89-104.</w:t>
      </w:r>
    </w:p>
    <w:p w14:paraId="5CEB1B2B"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lastRenderedPageBreak/>
        <w:t>Hamakhan, Y.T. (2020b) 'The effect of individual factors on user behaviour and the moderating role of trust: An empirical investigation of consumers' acceptance of electronic banking in the Kurdistan Region of Iraq', </w:t>
      </w:r>
      <w:r w:rsidRPr="002E3ED0">
        <w:rPr>
          <w:rStyle w:val="Emphasis"/>
          <w:color w:val="0F1115"/>
        </w:rPr>
        <w:t>Financial Innovation</w:t>
      </w:r>
      <w:r w:rsidRPr="002E3ED0">
        <w:rPr>
          <w:color w:val="0F1115"/>
        </w:rPr>
        <w:t>, 6(1). doi:10.1186/s40854-020-00206-0.</w:t>
      </w:r>
    </w:p>
    <w:p w14:paraId="427E27F3"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Hanif, Y. and Lallie, H.S. (2021) 'Security factors on the intention to use mobile banking applications in the UK older generation (55+). A mixed-method study using modified UTAUT and MTAM - with perceived cyber security, risk, and trust', </w:t>
      </w:r>
      <w:r w:rsidRPr="002E3ED0">
        <w:rPr>
          <w:rStyle w:val="Emphasis"/>
          <w:color w:val="0F1115"/>
        </w:rPr>
        <w:t>Technology in Society</w:t>
      </w:r>
      <w:r w:rsidRPr="002E3ED0">
        <w:rPr>
          <w:color w:val="0F1115"/>
        </w:rPr>
        <w:t>, 67, 101693. doi:10.1016/j.techsoc.2021.101693.</w:t>
      </w:r>
    </w:p>
    <w:p w14:paraId="7CCF5B42"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He, J. (2023) 'Analysis of the Basic Criteria of Social Science Positivism Research', </w:t>
      </w:r>
      <w:r w:rsidRPr="002E3ED0">
        <w:rPr>
          <w:rStyle w:val="Emphasis"/>
          <w:color w:val="0F1115"/>
        </w:rPr>
        <w:t>International Journal of Education and Humanities</w:t>
      </w:r>
      <w:r w:rsidRPr="002E3ED0">
        <w:rPr>
          <w:color w:val="0F1115"/>
        </w:rPr>
        <w:t>, 8(1), pp.1-4.</w:t>
      </w:r>
    </w:p>
    <w:p w14:paraId="39ECE5D8"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Higgins, J.P.T., Thomas, J., Chandler, J., Cumpston, M., Li, T., Page, M.J. and Welch, V.A. (2019) </w:t>
      </w:r>
      <w:r w:rsidRPr="002E3ED0">
        <w:rPr>
          <w:rStyle w:val="Emphasis"/>
          <w:color w:val="0F1115"/>
        </w:rPr>
        <w:t>Cochrane Handbook for Systematic Reviews of Interventions</w:t>
      </w:r>
      <w:r w:rsidRPr="002E3ED0">
        <w:rPr>
          <w:color w:val="0F1115"/>
        </w:rPr>
        <w:t>. 2nd edn. Chichester: Wiley-Blackwell.</w:t>
      </w:r>
    </w:p>
    <w:p w14:paraId="503A547A"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Hilal, A. and Varela-Neira, C. (2022) 'Understanding consumer adoption of mobile banking: extending the UTAUT2 model with proactive personality', </w:t>
      </w:r>
      <w:r w:rsidRPr="002E3ED0">
        <w:rPr>
          <w:rStyle w:val="Emphasis"/>
          <w:color w:val="0F1115"/>
        </w:rPr>
        <w:t>Sustainability</w:t>
      </w:r>
      <w:r w:rsidRPr="002E3ED0">
        <w:rPr>
          <w:color w:val="0F1115"/>
        </w:rPr>
        <w:t>, 14(22), 14708. doi:10.3390/su142214708.</w:t>
      </w:r>
    </w:p>
    <w:p w14:paraId="68C7B152"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Himawan, E.N. and Indriani, F. (2026) 'Service quality, trust, and financial behavior in digital banking: A systematic literature review', </w:t>
      </w:r>
      <w:r w:rsidRPr="002E3ED0">
        <w:rPr>
          <w:rStyle w:val="Emphasis"/>
          <w:color w:val="0F1115"/>
        </w:rPr>
        <w:t>Finance Innovations Digest</w:t>
      </w:r>
      <w:r w:rsidRPr="002E3ED0">
        <w:rPr>
          <w:color w:val="0F1115"/>
        </w:rPr>
        <w:t>, 4(1), pp.53–79.</w:t>
      </w:r>
    </w:p>
    <w:p w14:paraId="4FEA914C"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Islam, J.U., Shahid, S., Rasool, A., Rahman, Z., Khan, I. and Rather, R.A. (2020) 'Impact of website attributes on customer engagement in banking: A solicitation of stimulus-organism-response theory', </w:t>
      </w:r>
      <w:r w:rsidRPr="002E3ED0">
        <w:rPr>
          <w:rStyle w:val="Emphasis"/>
          <w:color w:val="0F1115"/>
        </w:rPr>
        <w:t>International Journal of Bank Marketing</w:t>
      </w:r>
      <w:r w:rsidRPr="002E3ED0">
        <w:rPr>
          <w:color w:val="0F1115"/>
        </w:rPr>
        <w:t>, 38(6), pp.1279-1303. doi:10.1108/ijbm-12-2019-0460.</w:t>
      </w:r>
    </w:p>
    <w:p w14:paraId="74D4E9C5"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Jafri, J.A., Amin, S.I.M., Rahman, A.A. and Nor, S.M. (2024a) 'A systematic literature review of the role of trust and security on Fintech adoption in banking', </w:t>
      </w:r>
      <w:r w:rsidRPr="002E3ED0">
        <w:rPr>
          <w:rStyle w:val="Emphasis"/>
          <w:color w:val="0F1115"/>
        </w:rPr>
        <w:t>Heliyon</w:t>
      </w:r>
      <w:r w:rsidRPr="002E3ED0">
        <w:rPr>
          <w:color w:val="0F1115"/>
        </w:rPr>
        <w:t>, 10(1), p.e22980. doi:10.1016/j.heliyon.2023.e22980.</w:t>
      </w:r>
    </w:p>
    <w:p w14:paraId="2719309D"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Jafri, M.S., Khan, M.A. and Ahmed, S. (2024b) 'A ROSES-Based Systematic Review of Digital Banking Adoption Factors', </w:t>
      </w:r>
      <w:r w:rsidRPr="002E3ED0">
        <w:rPr>
          <w:rStyle w:val="Emphasis"/>
          <w:color w:val="0F1115"/>
        </w:rPr>
        <w:t>Journal of Banking and Finance Technology</w:t>
      </w:r>
      <w:r w:rsidRPr="002E3ED0">
        <w:rPr>
          <w:color w:val="0F1115"/>
        </w:rPr>
        <w:t>, 8(1), pp.45-67.</w:t>
      </w:r>
    </w:p>
    <w:p w14:paraId="0C6ACF3B"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Jiang, M., Rifon, N.J., Cotten, S.R., Alhabash, S., Tsai, H.-Y.S., Shillair, R. and LaRose, R. (2022) 'Bringing older consumers onboard to online banking: a generational cohort comparison', </w:t>
      </w:r>
      <w:r w:rsidRPr="002E3ED0">
        <w:rPr>
          <w:rStyle w:val="Emphasis"/>
          <w:color w:val="0F1115"/>
        </w:rPr>
        <w:t>Educational Gerontology</w:t>
      </w:r>
      <w:r w:rsidRPr="002E3ED0">
        <w:rPr>
          <w:color w:val="0F1115"/>
        </w:rPr>
        <w:t>, 48(3), pp.114-131. doi:10.1080/03601277.2021.2021730.</w:t>
      </w:r>
    </w:p>
    <w:p w14:paraId="789CB5E4"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Kaabachi, S., Ben Mrad, S. and Fiedler, A. (2019) 'The moderating effect of e-bank structure on French consumers' trust', </w:t>
      </w:r>
      <w:r w:rsidRPr="002E3ED0">
        <w:rPr>
          <w:rStyle w:val="Emphasis"/>
          <w:color w:val="0F1115"/>
        </w:rPr>
        <w:t>International Journal of Bank Marketing</w:t>
      </w:r>
      <w:r w:rsidRPr="002E3ED0">
        <w:rPr>
          <w:color w:val="0F1115"/>
        </w:rPr>
        <w:t>. doi:10.1108/ijbm-04-2019-0119.</w:t>
      </w:r>
    </w:p>
    <w:p w14:paraId="2EFAD328"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Kang, D. and Shin, N. (2026) 'Trust in digital financial services: Socio-technical and operational perspectives on security, interoperability, and impression management', </w:t>
      </w:r>
      <w:r w:rsidRPr="002E3ED0">
        <w:rPr>
          <w:rStyle w:val="Emphasis"/>
          <w:color w:val="0F1115"/>
        </w:rPr>
        <w:t>Telematics and Informatics Reports</w:t>
      </w:r>
      <w:r w:rsidRPr="002E3ED0">
        <w:rPr>
          <w:color w:val="0F1115"/>
        </w:rPr>
        <w:t>, 22, p.100338. doi:10.1016/j.teler.2026.100338.</w:t>
      </w:r>
    </w:p>
    <w:p w14:paraId="67836B96"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lastRenderedPageBreak/>
        <w:t>Kaur, P., Dhir, A., Bodhi, R., Singh, T. and Almotairi, M. (2020) 'Why do people use and recommend m-wallets?', </w:t>
      </w:r>
      <w:r w:rsidRPr="002E3ED0">
        <w:rPr>
          <w:rStyle w:val="Emphasis"/>
          <w:color w:val="0F1115"/>
        </w:rPr>
        <w:t>Journal of Retailing and Consumer Services</w:t>
      </w:r>
      <w:r w:rsidRPr="002E3ED0">
        <w:rPr>
          <w:color w:val="0F1115"/>
        </w:rPr>
        <w:t>, 56, p.102091. doi:10.1016/j.jretconser.2020.102091.</w:t>
      </w:r>
    </w:p>
    <w:p w14:paraId="37C35354"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Kavabilla, F.E. and Wahyudi, S. (2025) 'Digital-Only Banking Adoption: A Systematic Literature Review on Consumer Trust and Behavioural Patterns', </w:t>
      </w:r>
      <w:r w:rsidRPr="002E3ED0">
        <w:rPr>
          <w:rStyle w:val="Emphasis"/>
          <w:color w:val="0F1115"/>
        </w:rPr>
        <w:t>Indonesian Business Review</w:t>
      </w:r>
      <w:r w:rsidRPr="002E3ED0">
        <w:rPr>
          <w:color w:val="0F1115"/>
        </w:rPr>
        <w:t>. Available at: </w:t>
      </w:r>
      <w:hyperlink r:id="rId13" w:tgtFrame="_blank" w:history="1">
        <w:r w:rsidRPr="002E3ED0">
          <w:rPr>
            <w:rStyle w:val="Hyperlink"/>
          </w:rPr>
          <w:t>https://journal.lifescifi.com/index.php/ibr/article/view/1334</w:t>
        </w:r>
      </w:hyperlink>
      <w:r w:rsidRPr="002E3ED0">
        <w:t>.</w:t>
      </w:r>
    </w:p>
    <w:p w14:paraId="5B607E54"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Khan, F.N., Zohaib, M. and Arshad, M.U. (2025) 'The role of perceived risk factors in willingness to use CBDC: Mediating role of hard trust and soft trust', </w:t>
      </w:r>
      <w:r w:rsidRPr="002E3ED0">
        <w:rPr>
          <w:rStyle w:val="Emphasis"/>
          <w:color w:val="0F1115"/>
        </w:rPr>
        <w:t>International Journal of Bank Marketing</w:t>
      </w:r>
      <w:r w:rsidRPr="002E3ED0">
        <w:rPr>
          <w:color w:val="0F1115"/>
        </w:rPr>
        <w:t>, 44(4), pp.738-773. doi:10.1108/IJBM-03-2025-0252.</w:t>
      </w:r>
    </w:p>
    <w:p w14:paraId="1FDB3AED"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Kumar, P., Chauhan, S., Gupta, P. and Jaiswal, M.P. (2023a) 'A meta-analysis of trust in mobile banking: The moderating role of cultural dimensions', </w:t>
      </w:r>
      <w:r w:rsidRPr="002E3ED0">
        <w:rPr>
          <w:rStyle w:val="Emphasis"/>
          <w:color w:val="0F1115"/>
        </w:rPr>
        <w:t>International Journal of Bank Marketing</w:t>
      </w:r>
      <w:r w:rsidRPr="002E3ED0">
        <w:rPr>
          <w:color w:val="0F1115"/>
        </w:rPr>
        <w:t>, 41(6), pp.1207-1238. doi:10.1108/IJBM-02-2022-0075.</w:t>
      </w:r>
    </w:p>
    <w:p w14:paraId="38706AD8"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Kumar, P., Sharma, S. and Singh, R. (2023b) 'A Meta-Analysis of Trust and Security in Digital Banking: Antecedents and Consequences', </w:t>
      </w:r>
      <w:r w:rsidRPr="002E3ED0">
        <w:rPr>
          <w:rStyle w:val="Emphasis"/>
          <w:color w:val="0F1115"/>
        </w:rPr>
        <w:t>Journal of Retailing and Consumer Services</w:t>
      </w:r>
      <w:r w:rsidRPr="002E3ED0">
        <w:rPr>
          <w:color w:val="0F1115"/>
        </w:rPr>
        <w:t>, 72, p.103246.</w:t>
      </w:r>
    </w:p>
    <w:p w14:paraId="4BBFA4A7"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Ladeira, W.J., Jafar, R. and de Oliveira Santini, F. (2025a) 'Trust in Digital Banking: A Meta-Analytic Review', </w:t>
      </w:r>
      <w:r w:rsidRPr="002E3ED0">
        <w:rPr>
          <w:rStyle w:val="Emphasis"/>
          <w:color w:val="0F1115"/>
        </w:rPr>
        <w:t>International Journal of Bank Marketing</w:t>
      </w:r>
      <w:r w:rsidRPr="002E3ED0">
        <w:rPr>
          <w:color w:val="0F1115"/>
        </w:rPr>
        <w:t>, 43(1), pp.78-102.</w:t>
      </w:r>
    </w:p>
    <w:p w14:paraId="121C7FC0"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Ladeira, W.J., Jafar, S.H. and de Oliveira Santini, F. (2025b) 'A meta-analysis of technological adoption of financial services: Investigating risk and trust perception effects', </w:t>
      </w:r>
      <w:r w:rsidRPr="002E3ED0">
        <w:rPr>
          <w:rStyle w:val="Emphasis"/>
          <w:color w:val="0F1115"/>
        </w:rPr>
        <w:t>International Journal of Bank Marketing</w:t>
      </w:r>
      <w:r w:rsidRPr="002E3ED0">
        <w:rPr>
          <w:color w:val="0F1115"/>
        </w:rPr>
        <w:t>, 44(3), pp.393-421. doi:10.1108/IJBM-02-2025-0156.</w:t>
      </w:r>
    </w:p>
    <w:p w14:paraId="6A5D9D7F"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Le, N.P., Ninh, N.T.H. and Hung, N.M. (2023) 'Factors Influencing Customers' Perception of Digital Banking Service Quality in Vietnam', </w:t>
      </w:r>
      <w:r w:rsidRPr="002E3ED0">
        <w:rPr>
          <w:rStyle w:val="Emphasis"/>
          <w:color w:val="0F1115"/>
        </w:rPr>
        <w:t>International Journal of Professional Business Review</w:t>
      </w:r>
      <w:r w:rsidRPr="002E3ED0">
        <w:rPr>
          <w:color w:val="0F1115"/>
        </w:rPr>
        <w:t>, 8(7), pp.e02861–e02861.</w:t>
      </w:r>
    </w:p>
    <w:p w14:paraId="24700C8C"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Lee, J.-C., Tang, Y. and Jiang, S. (2023) 'Understanding continuance intention of artificial intelligence (AI)-enabled mobile banking applications: an extension of AI characteristics to an expectation confirmation model', </w:t>
      </w:r>
      <w:r w:rsidRPr="002E3ED0">
        <w:rPr>
          <w:rStyle w:val="Emphasis"/>
          <w:color w:val="0F1115"/>
        </w:rPr>
        <w:t>Humanities and Social Sciences Communications</w:t>
      </w:r>
      <w:r w:rsidRPr="002E3ED0">
        <w:rPr>
          <w:color w:val="0F1115"/>
        </w:rPr>
        <w:t>, 10, 333. doi:10.1057/s41599-023-01845-1.</w:t>
      </w:r>
    </w:p>
    <w:p w14:paraId="799E108D"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Lee, J.-M. and Kim, H.-J. (2020) 'Determinants of adoption and continuance intentions toward Internet-only banks', </w:t>
      </w:r>
      <w:r w:rsidRPr="002E3ED0">
        <w:rPr>
          <w:rStyle w:val="Emphasis"/>
          <w:color w:val="0F1115"/>
        </w:rPr>
        <w:t>International Journal of Bank Marketing</w:t>
      </w:r>
      <w:r w:rsidRPr="002E3ED0">
        <w:rPr>
          <w:color w:val="0F1115"/>
        </w:rPr>
        <w:t>, 38(4), pp.843–865.</w:t>
      </w:r>
    </w:p>
    <w:p w14:paraId="3FEDEC2E"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Liu, C. and Babar, M.A. (2024) 'Corporate cybersecurity risk and data breaches: a systematic review of empirical research', </w:t>
      </w:r>
      <w:r w:rsidRPr="002E3ED0">
        <w:rPr>
          <w:rStyle w:val="Emphasis"/>
          <w:color w:val="0F1115"/>
        </w:rPr>
        <w:t>Australian Journal of Management</w:t>
      </w:r>
      <w:r w:rsidRPr="002E3ED0">
        <w:rPr>
          <w:color w:val="0F1115"/>
        </w:rPr>
        <w:t>, 51(1), pp.62-92. doi:10.1177/03128962241293658.</w:t>
      </w:r>
    </w:p>
    <w:p w14:paraId="258A7D66"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Majumdar, S. and Pujari, V. (2022) 'Exploring usage of mobile banking apps in the UAE: A categorical regression analysis', </w:t>
      </w:r>
      <w:r w:rsidRPr="002E3ED0">
        <w:rPr>
          <w:rStyle w:val="Emphasis"/>
          <w:color w:val="0F1115"/>
        </w:rPr>
        <w:t>Journal of Financial Services Marketing</w:t>
      </w:r>
      <w:r w:rsidRPr="002E3ED0">
        <w:rPr>
          <w:color w:val="0F1115"/>
        </w:rPr>
        <w:t>, 27(3), pp.177-189. doi:10.1057/s41264-021-00112-1.</w:t>
      </w:r>
    </w:p>
    <w:p w14:paraId="4CF97FFB"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lastRenderedPageBreak/>
        <w:t>Martinez-Navalon, J.-G., Fernandez-Fernandez, M. and Pedrosa Alberto, F. (2023) 'Does privacy and ease of use influence user trust in digital banking applications in Spain and Portugal?', </w:t>
      </w:r>
      <w:r w:rsidRPr="002E3ED0">
        <w:rPr>
          <w:rStyle w:val="Emphasis"/>
          <w:color w:val="0F1115"/>
        </w:rPr>
        <w:t>International Entrepreneurship and Management Journal</w:t>
      </w:r>
      <w:r w:rsidRPr="002E3ED0">
        <w:rPr>
          <w:color w:val="0F1115"/>
        </w:rPr>
        <w:t>, 19(2), pp.781-803. doi:10.1007/s11365-023-00839-4.</w:t>
      </w:r>
    </w:p>
    <w:p w14:paraId="1AAF966E"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Mazhar, A., Iradat, F., Taşkın, N. and Metin, B. (2025a) 'Digital trust and the adoption of e-government services in Pakistan: A systematic literature review', </w:t>
      </w:r>
      <w:r w:rsidRPr="002E3ED0">
        <w:rPr>
          <w:rStyle w:val="Emphasis"/>
          <w:color w:val="0F1115"/>
        </w:rPr>
        <w:t>Security Journal</w:t>
      </w:r>
      <w:r w:rsidRPr="002E3ED0">
        <w:rPr>
          <w:color w:val="0F1115"/>
        </w:rPr>
        <w:t>, 38(1). doi:10.1057/s41284-025-00506-z.</w:t>
      </w:r>
    </w:p>
    <w:p w14:paraId="5D2AB00F"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Mazhar, M., Akhtar, M.S. and Ali, M. (2025b) 'Digital Trust in E-Government Services: A Systematic Literature Review', </w:t>
      </w:r>
      <w:r w:rsidRPr="002E3ED0">
        <w:rPr>
          <w:rStyle w:val="Emphasis"/>
          <w:color w:val="0F1115"/>
        </w:rPr>
        <w:t>Government Information Quarterly</w:t>
      </w:r>
      <w:r w:rsidRPr="002E3ED0">
        <w:rPr>
          <w:color w:val="0F1115"/>
        </w:rPr>
        <w:t>, 42(1), p.101832.</w:t>
      </w:r>
    </w:p>
    <w:p w14:paraId="49B10ED5"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Meierhans, J. (2024a) 'Banks must refund fraud in five days, but losses capped at £85,000', </w:t>
      </w:r>
      <w:r w:rsidRPr="002E3ED0">
        <w:rPr>
          <w:rStyle w:val="Emphasis"/>
          <w:color w:val="0F1115"/>
        </w:rPr>
        <w:t>BBC News</w:t>
      </w:r>
      <w:r w:rsidRPr="002E3ED0">
        <w:rPr>
          <w:color w:val="0F1115"/>
        </w:rPr>
        <w:t>, 25 September. Available at: </w:t>
      </w:r>
      <w:hyperlink r:id="rId14" w:tgtFrame="_blank" w:history="1">
        <w:r w:rsidRPr="002E3ED0">
          <w:rPr>
            <w:rStyle w:val="Hyperlink"/>
          </w:rPr>
          <w:t>https://www.bbc.com/news/articles/cy94vz4zd7zo</w:t>
        </w:r>
      </w:hyperlink>
      <w:r w:rsidRPr="002E3ED0">
        <w:rPr>
          <w:color w:val="0F1115"/>
        </w:rPr>
        <w:t> (Accessed: 13 July 2026).</w:t>
      </w:r>
    </w:p>
    <w:p w14:paraId="2892E3FC"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Meierhans, J. (2024b) 'UK Regulators Tighten Fraud Refund Rules and IT Resilience Requirements', </w:t>
      </w:r>
      <w:r w:rsidRPr="002E3ED0">
        <w:rPr>
          <w:rStyle w:val="Emphasis"/>
          <w:color w:val="0F1115"/>
        </w:rPr>
        <w:t>Financial Regulation International</w:t>
      </w:r>
      <w:r w:rsidRPr="002E3ED0">
        <w:rPr>
          <w:color w:val="0F1115"/>
        </w:rPr>
        <w:t>, 27(3), pp.34-40.</w:t>
      </w:r>
    </w:p>
    <w:p w14:paraId="264115E3"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Modesti, P., Freitas, L., Shotomiwa, Q. and Almehrej, A. (2025) 'Security analysis of the open banking account and transaction API protocol', </w:t>
      </w:r>
      <w:r w:rsidRPr="002E3ED0">
        <w:rPr>
          <w:rStyle w:val="Emphasis"/>
          <w:color w:val="0F1115"/>
        </w:rPr>
        <w:t>Cyber Security and Applications</w:t>
      </w:r>
      <w:r w:rsidRPr="002E3ED0">
        <w:rPr>
          <w:color w:val="0F1115"/>
        </w:rPr>
        <w:t>, 3, 100097. doi:10.1016/j.csa.2025.100097.</w:t>
      </w:r>
    </w:p>
    <w:p w14:paraId="29F1690D"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MoneyWeek (2025) 'Barclays to pay millions in compensation after IT outage chaos', </w:t>
      </w:r>
      <w:r w:rsidRPr="002E3ED0">
        <w:rPr>
          <w:rStyle w:val="Emphasis"/>
          <w:color w:val="0F1115"/>
        </w:rPr>
        <w:t>MoneyWeek</w:t>
      </w:r>
      <w:r w:rsidRPr="002E3ED0">
        <w:rPr>
          <w:color w:val="0F1115"/>
        </w:rPr>
        <w:t>, March. Available at:</w:t>
      </w:r>
      <w:r w:rsidRPr="002E3ED0">
        <w:t> </w:t>
      </w:r>
      <w:hyperlink r:id="rId15" w:tgtFrame="_blank" w:history="1">
        <w:r w:rsidRPr="002E3ED0">
          <w:rPr>
            <w:rStyle w:val="Hyperlink"/>
          </w:rPr>
          <w:t>https://moneyweek.com/personal-finance/bank-app-outage-compensation</w:t>
        </w:r>
      </w:hyperlink>
      <w:r w:rsidRPr="002E3ED0">
        <w:rPr>
          <w:color w:val="0F1115"/>
        </w:rPr>
        <w:t> (Accessed: 17 August 2026).</w:t>
      </w:r>
    </w:p>
    <w:p w14:paraId="2D57EB6B"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Nasdaq (2025) </w:t>
      </w:r>
      <w:r w:rsidRPr="002E3ED0">
        <w:rPr>
          <w:rStyle w:val="Emphasis"/>
          <w:color w:val="0F1115"/>
        </w:rPr>
        <w:t>FICO Survey: Fraud Department Is Secret Weapon for UK Customer Acquisition</w:t>
      </w:r>
      <w:r w:rsidRPr="002E3ED0">
        <w:rPr>
          <w:color w:val="0F1115"/>
        </w:rPr>
        <w:t>. Available at:</w:t>
      </w:r>
      <w:r w:rsidRPr="002E3ED0">
        <w:t> </w:t>
      </w:r>
      <w:hyperlink r:id="rId16" w:tgtFrame="_blank" w:history="1">
        <w:r w:rsidRPr="002E3ED0">
          <w:rPr>
            <w:rStyle w:val="Hyperlink"/>
          </w:rPr>
          <w:t>https://www.nasdaq.com/press-release/fico-survey-fraud-department-secret-weapon-uk-customer-acquisition-2025-10-29</w:t>
        </w:r>
      </w:hyperlink>
      <w:r w:rsidRPr="002E3ED0">
        <w:rPr>
          <w:color w:val="0F1115"/>
        </w:rPr>
        <w:t> (Accessed: 12 July 2026).</w:t>
      </w:r>
    </w:p>
    <w:p w14:paraId="20EF3D97"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Norbu, T., Park, J.Y., Wong, K.W. and Cui, H. (2024) 'Factors Affecting Trust and Acceptance for Blockchain Adoption in Digital Payment Systems: A Systematic Review', </w:t>
      </w:r>
      <w:r w:rsidRPr="002E3ED0">
        <w:rPr>
          <w:rStyle w:val="Emphasis"/>
          <w:color w:val="0F1115"/>
        </w:rPr>
        <w:t>Future Internet</w:t>
      </w:r>
      <w:r w:rsidRPr="002E3ED0">
        <w:rPr>
          <w:color w:val="0F1115"/>
        </w:rPr>
        <w:t>, 16(3), p.106. doi:10.3390/fi16030106.</w:t>
      </w:r>
    </w:p>
    <w:p w14:paraId="151A9BE8"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Oscar, F. (2026a) 'Digital Banking Adoption in Developing Economies: The Mediating Role of Trust Between Technology and User Satisfaction', </w:t>
      </w:r>
      <w:r w:rsidRPr="002E3ED0">
        <w:rPr>
          <w:rStyle w:val="Emphasis"/>
          <w:color w:val="0F1115"/>
        </w:rPr>
        <w:t>International Journal of Scientific Research and Management</w:t>
      </w:r>
      <w:r w:rsidRPr="002E3ED0">
        <w:rPr>
          <w:color w:val="0F1115"/>
        </w:rPr>
        <w:t>, 14(03), pp.10550–10559.</w:t>
      </w:r>
    </w:p>
    <w:p w14:paraId="38DBC2C9"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Oscar, O. (2026b) 'The Mediating Role of Trust in Digital Banking Satisfaction and Continuance Intention', </w:t>
      </w:r>
      <w:r w:rsidRPr="002E3ED0">
        <w:rPr>
          <w:rStyle w:val="Emphasis"/>
          <w:color w:val="0F1115"/>
        </w:rPr>
        <w:t>Journal of Financial Services Research</w:t>
      </w:r>
      <w:r w:rsidRPr="002E3ED0">
        <w:rPr>
          <w:color w:val="0F1115"/>
        </w:rPr>
        <w:t>, 68(2), pp.145-168.</w:t>
      </w:r>
    </w:p>
    <w:p w14:paraId="61CC7900"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Page, M.J., McKenzie, J.E., Bossuyt, P.M., Boutron, I., Hoffmann, T.C., Mulrow, C.D., Shamseer, L., Tetzlaff, J.M., Akl, E.A., Brennan, S.E., Chou, R., Glanville, J., Grimshaw, J.M., Hróbjartsson, A., Lalu, M.M., Li, T., Loder, E.W., Mayo-Wilson, E., McDonald, S., McGuinness, L.A., Stewart, L.A., Thomas, J., Tricco, A.C., Welch, V.A., Whiting, P. and Moher, D. (2021) 'The PRISMA 2020 statement: An updated guideline for reporting systematic reviews', </w:t>
      </w:r>
      <w:r w:rsidRPr="002E3ED0">
        <w:rPr>
          <w:rStyle w:val="Emphasis"/>
          <w:color w:val="0F1115"/>
        </w:rPr>
        <w:t>BMJ</w:t>
      </w:r>
      <w:r w:rsidRPr="002E3ED0">
        <w:rPr>
          <w:color w:val="0F1115"/>
        </w:rPr>
        <w:t>, 372, p.n71.</w:t>
      </w:r>
    </w:p>
    <w:p w14:paraId="7C4AE8FC"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lastRenderedPageBreak/>
        <w:t>Penney, E.K., Agyei, J., Boadi, E.K., Abrokwah, E. and Ofori-Boafo, R. (2021) 'Understanding Factors That Influence Consumer Intention to Use Mobile Money Services: An Application of UTAUT2 With Perceived Risk and Trust', </w:t>
      </w:r>
      <w:r w:rsidRPr="002E3ED0">
        <w:rPr>
          <w:rStyle w:val="Emphasis"/>
          <w:color w:val="0F1115"/>
        </w:rPr>
        <w:t>SAGE Open</w:t>
      </w:r>
      <w:r w:rsidRPr="002E3ED0">
        <w:rPr>
          <w:color w:val="0F1115"/>
        </w:rPr>
        <w:t>, 11(3). doi:10.1177/21582440211023188.</w:t>
      </w:r>
    </w:p>
    <w:p w14:paraId="60D912A4"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Qatawneh, N., Al-Okaily, M., Alkhasawneh, R., Althonayan, A. and Tarawneh, A. (2024) 'The mediating role of e-trust and e-satisfaction in the relationship between e-service quality and e-loyalty toward e-government services', </w:t>
      </w:r>
      <w:r w:rsidRPr="002E3ED0">
        <w:rPr>
          <w:rStyle w:val="Emphasis"/>
          <w:color w:val="0F1115"/>
        </w:rPr>
        <w:t>Global Knowledge, Memory and Communication</w:t>
      </w:r>
      <w:r w:rsidRPr="002E3ED0">
        <w:rPr>
          <w:color w:val="0F1115"/>
        </w:rPr>
        <w:t>. doi:10.1108/gkmc-07-2023-0263.</w:t>
      </w:r>
    </w:p>
    <w:p w14:paraId="02AD0A9A"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Rahayu, W., Hasibuan, H. and Tarigan, Y.F.B. (2026) 'The Influence of Risk Perception, Personal Data Protection, and Digital Service Quality on Customer Trust in Digital Banking Services in Indonesia', </w:t>
      </w:r>
      <w:r w:rsidRPr="002E3ED0">
        <w:rPr>
          <w:rStyle w:val="Emphasis"/>
          <w:color w:val="0F1115"/>
        </w:rPr>
        <w:t>International Journal of Economics and Management Sciences</w:t>
      </w:r>
      <w:r w:rsidRPr="002E3ED0">
        <w:rPr>
          <w:color w:val="0F1115"/>
        </w:rPr>
        <w:t>, 3(2), pp.121–131.</w:t>
      </w:r>
    </w:p>
    <w:p w14:paraId="437C7470"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Rajaobelina, L., Brun, I., Line, R. and Cloutier-Bilodeau, C. (2021) 'Not all elderly are the same: fostering trust through mobile banking service experience', </w:t>
      </w:r>
      <w:r w:rsidRPr="002E3ED0">
        <w:rPr>
          <w:rStyle w:val="Emphasis"/>
          <w:color w:val="0F1115"/>
        </w:rPr>
        <w:t>International Journal of Bank Marketing</w:t>
      </w:r>
      <w:r w:rsidRPr="002E3ED0">
        <w:rPr>
          <w:color w:val="0F1115"/>
        </w:rPr>
        <w:t>, 39(1), pp.85-106. doi:10.1108/IJBM-05-2020-0288.</w:t>
      </w:r>
    </w:p>
    <w:p w14:paraId="188BB2E6"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Ridwan, M., Puspitasari, R., Winarsih, T., Wangsih, I.C. and Sudarmanto, E. (2025) 'The Effect of Digital Banking Adoption, Trust in Fintech, Perceived Security, and Customer Satisfaction on Financial Inclusion in Indonesian Banking', </w:t>
      </w:r>
      <w:r w:rsidRPr="002E3ED0">
        <w:rPr>
          <w:rStyle w:val="Emphasis"/>
          <w:color w:val="0F1115"/>
        </w:rPr>
        <w:t>West Science Business and Management</w:t>
      </w:r>
      <w:r w:rsidRPr="002E3ED0">
        <w:rPr>
          <w:color w:val="0F1115"/>
        </w:rPr>
        <w:t>, 3(01), pp.158–168.</w:t>
      </w:r>
    </w:p>
    <w:p w14:paraId="425AF39A"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Roberts-Lombard, M. and Petzer, D.J. (2021a) 'Customer Trust in Digital Banking: The Role of Customer-Focused Initiatives and Service Quality', </w:t>
      </w:r>
      <w:r w:rsidRPr="002E3ED0">
        <w:rPr>
          <w:rStyle w:val="Emphasis"/>
          <w:color w:val="0F1115"/>
        </w:rPr>
        <w:t>Journal of Financial Services Marketing</w:t>
      </w:r>
      <w:r w:rsidRPr="002E3ED0">
        <w:rPr>
          <w:color w:val="0F1115"/>
        </w:rPr>
        <w:t>, 26(4), pp.215-232.</w:t>
      </w:r>
    </w:p>
    <w:p w14:paraId="364030D0"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Roberts-Lombard, M. and Petzer, D.J. (2021b) 'Relationship marketing: An S-O-R perspective emphasising the importance of trust in retail banking', </w:t>
      </w:r>
      <w:r w:rsidRPr="002E3ED0">
        <w:rPr>
          <w:rStyle w:val="Emphasis"/>
          <w:color w:val="0F1115"/>
        </w:rPr>
        <w:t>International Journal of Bank Marketing</w:t>
      </w:r>
      <w:r w:rsidRPr="002E3ED0">
        <w:rPr>
          <w:color w:val="0F1115"/>
        </w:rPr>
        <w:t>, 39(5), pp.725-750. doi:10.1108/IJBM-08-2020-0417.</w:t>
      </w:r>
    </w:p>
    <w:p w14:paraId="579D7B8B"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Saunders, M.N.K., Lewis, P. and Thornhill, A. (2019) </w:t>
      </w:r>
      <w:r w:rsidRPr="002E3ED0">
        <w:rPr>
          <w:rStyle w:val="Emphasis"/>
          <w:color w:val="0F1115"/>
        </w:rPr>
        <w:t>Research Methods for Business Students</w:t>
      </w:r>
      <w:r w:rsidRPr="002E3ED0">
        <w:rPr>
          <w:color w:val="0F1115"/>
        </w:rPr>
        <w:t>. 8th edn. Harlow: Pearson Education.</w:t>
      </w:r>
    </w:p>
    <w:p w14:paraId="4F99777C"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Saveljeva, J. and Volkova, T. (2026) 'Category-specific effects of digital trust on third-party risks in the banking industry', </w:t>
      </w:r>
      <w:r w:rsidRPr="002E3ED0">
        <w:rPr>
          <w:rStyle w:val="Emphasis"/>
          <w:color w:val="0F1115"/>
        </w:rPr>
        <w:t>The Journal of Risk Finance</w:t>
      </w:r>
      <w:r w:rsidRPr="002E3ED0">
        <w:rPr>
          <w:color w:val="0F1115"/>
        </w:rPr>
        <w:t>, pp.1–17.</w:t>
      </w:r>
    </w:p>
    <w:p w14:paraId="4D89B0C7"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Shahid, S., Islam, J.U., Malik, S. and Hasan, U. (2022) 'Examining consumer experience in using m-banking apps: a study of its antecedents and outcomes', </w:t>
      </w:r>
      <w:r w:rsidRPr="002E3ED0">
        <w:rPr>
          <w:rStyle w:val="Emphasis"/>
          <w:color w:val="0F1115"/>
        </w:rPr>
        <w:t>Journal of Retailing and Consumer Services</w:t>
      </w:r>
      <w:r w:rsidRPr="002E3ED0">
        <w:rPr>
          <w:color w:val="0F1115"/>
        </w:rPr>
        <w:t>, 65, 102870. doi:10.1016/j.jretconser.2021.102870.</w:t>
      </w:r>
    </w:p>
    <w:p w14:paraId="364FAF3D"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Shea, B.J., Reeves, B.C., Wells, G., Thuku, M., Hamel, C., Moran, J., Moher, D., Tugwell, P., Welch, V., Kristjansson, E. and Henry, D.A. (2017) 'AMSTAR 2: A critical appraisal tool for systematic reviews that include randomised or non-randomised studies of healthcare interventions, or both', </w:t>
      </w:r>
      <w:r w:rsidRPr="002E3ED0">
        <w:rPr>
          <w:rStyle w:val="Emphasis"/>
          <w:color w:val="0F1115"/>
        </w:rPr>
        <w:t>BMJ</w:t>
      </w:r>
      <w:r w:rsidRPr="002E3ED0">
        <w:rPr>
          <w:color w:val="0F1115"/>
        </w:rPr>
        <w:t>, 358, p.j4008.</w:t>
      </w:r>
    </w:p>
    <w:p w14:paraId="2A02950C"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lastRenderedPageBreak/>
        <w:t>Shum, N. (2025) 'Authorised push payment fraud: theorising a loss allocation model', </w:t>
      </w:r>
      <w:r w:rsidRPr="002E3ED0">
        <w:rPr>
          <w:rStyle w:val="Emphasis"/>
          <w:color w:val="0F1115"/>
        </w:rPr>
        <w:t>UCL Journal of Law and Jurisprudence</w:t>
      </w:r>
      <w:r w:rsidRPr="002E3ED0">
        <w:rPr>
          <w:color w:val="0F1115"/>
        </w:rPr>
        <w:t>, 14(1), pp.43-69. doi:10.14324/111.444.2052-1871.1988.</w:t>
      </w:r>
    </w:p>
    <w:p w14:paraId="401CB7B0"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Siegle, D. (2023) </w:t>
      </w:r>
      <w:r w:rsidRPr="002E3ED0">
        <w:rPr>
          <w:rStyle w:val="Emphasis"/>
          <w:color w:val="0F1115"/>
        </w:rPr>
        <w:t>Research Ethics and Informed Consent</w:t>
      </w:r>
      <w:r w:rsidRPr="002E3ED0">
        <w:rPr>
          <w:color w:val="0F1115"/>
        </w:rPr>
        <w:t>. Educational Research Basics. Available at: </w:t>
      </w:r>
      <w:hyperlink r:id="rId17" w:tgtFrame="_blank" w:history="1">
        <w:r w:rsidRPr="002E3ED0">
          <w:rPr>
            <w:rStyle w:val="Hyperlink"/>
          </w:rPr>
          <w:t>https://researchbasics.education.uconn.edu/ethics-and-informed-consent/</w:t>
        </w:r>
      </w:hyperlink>
      <w:r w:rsidRPr="002E3ED0">
        <w:rPr>
          <w:color w:val="0F1115"/>
        </w:rPr>
        <w:t> (Accessed: 1 July 2026).</w:t>
      </w:r>
    </w:p>
    <w:p w14:paraId="28BFBBF9"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Soilen, K.S. and Benhayoun, L. (2022) 'Household acceptance of central bank digital currency: the role of institutional trust', </w:t>
      </w:r>
      <w:r w:rsidRPr="002E3ED0">
        <w:rPr>
          <w:rStyle w:val="Emphasis"/>
          <w:color w:val="0F1115"/>
        </w:rPr>
        <w:t>International Journal of Bank Marketing</w:t>
      </w:r>
      <w:r w:rsidRPr="002E3ED0">
        <w:rPr>
          <w:color w:val="0F1115"/>
        </w:rPr>
        <w:t>, 40(1), pp.172-196. doi:10.1108/IJBM-04-2021-0156.</w:t>
      </w:r>
    </w:p>
    <w:p w14:paraId="5E9AFB8C"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Suwito, J.H. and Panjaitan, E.S. (2025a) 'Proposing a Model of Technology Acceptance and Use in Digital Banking: A Systematic Review and Meta-Analysis Approach', </w:t>
      </w:r>
      <w:r w:rsidRPr="002E3ED0">
        <w:rPr>
          <w:rStyle w:val="Emphasis"/>
          <w:color w:val="0F1115"/>
        </w:rPr>
        <w:t>SISTEMASI</w:t>
      </w:r>
      <w:r w:rsidRPr="002E3ED0">
        <w:rPr>
          <w:color w:val="0F1115"/>
        </w:rPr>
        <w:t>, 14(6), p.2863.</w:t>
      </w:r>
    </w:p>
    <w:p w14:paraId="7AB11D9F"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Suwito, K.A. and Panjaitan, M.F. (2025b) 'Integrating Technological, Regulatory, and Behavioural Factors in Digital Banking Trust Research', </w:t>
      </w:r>
      <w:r w:rsidRPr="002E3ED0">
        <w:rPr>
          <w:rStyle w:val="Emphasis"/>
          <w:color w:val="0F1115"/>
        </w:rPr>
        <w:t>Journal of Banking and Financial Technology</w:t>
      </w:r>
      <w:r w:rsidRPr="002E3ED0">
        <w:rPr>
          <w:color w:val="0F1115"/>
        </w:rPr>
        <w:t>, 9(1), pp.32-55.</w:t>
      </w:r>
    </w:p>
    <w:p w14:paraId="77CA4EF3"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Tamminen, K.A. and Poucher, Z.A. (2020) 'Research philosophies', in </w:t>
      </w:r>
      <w:r w:rsidRPr="002E3ED0">
        <w:rPr>
          <w:rStyle w:val="Emphasis"/>
          <w:color w:val="0F1115"/>
        </w:rPr>
        <w:t>The Routledge International Encyclopedia of Sport and Exercise Psychology</w:t>
      </w:r>
      <w:r w:rsidRPr="002E3ED0">
        <w:rPr>
          <w:color w:val="0F1115"/>
        </w:rPr>
        <w:t>. London: Routledge, pp.535-549.</w:t>
      </w:r>
    </w:p>
    <w:p w14:paraId="2743B997"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Thompsett, L. (2024) 'UK Banks Face Distrust: 1 In 4 Consumers Hoard Cash Amid IT Fears', </w:t>
      </w:r>
      <w:hyperlink r:id="rId18" w:tgtFrame="_blank" w:history="1">
        <w:r w:rsidRPr="002E3ED0">
          <w:rPr>
            <w:rStyle w:val="Hyperlink"/>
          </w:rPr>
          <w:t>Fintechmagazine.com</w:t>
        </w:r>
      </w:hyperlink>
      <w:r w:rsidRPr="002E3ED0">
        <w:t>. Available at: </w:t>
      </w:r>
      <w:hyperlink r:id="rId19" w:tgtFrame="_blank" w:history="1">
        <w:r w:rsidRPr="002E3ED0">
          <w:rPr>
            <w:rStyle w:val="Hyperlink"/>
          </w:rPr>
          <w:t>https://fintechmagazine.com/articles/gft-uk-banks-face-consumer-distrust-over-it-resilience</w:t>
        </w:r>
      </w:hyperlink>
      <w:r w:rsidRPr="002E3ED0">
        <w:rPr>
          <w:color w:val="0F1115"/>
        </w:rPr>
        <w:t> (Accessed: 13 July 2026).</w:t>
      </w:r>
    </w:p>
    <w:p w14:paraId="6C338C53"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Trawnih, A.A., Al-Adwan, A.S., Yaseen, H. and Al-Rahmi, W.M. (2023) 'Determining perceptions of banking customers regarding fingerprint ATMs', </w:t>
      </w:r>
      <w:r w:rsidRPr="002E3ED0">
        <w:rPr>
          <w:rStyle w:val="Emphasis"/>
          <w:color w:val="0F1115"/>
        </w:rPr>
        <w:t>Information Development</w:t>
      </w:r>
      <w:r w:rsidRPr="002E3ED0">
        <w:rPr>
          <w:color w:val="0F1115"/>
        </w:rPr>
        <w:t>, 41(4), pp.1356-1374. doi:10.1177/02666669231194360.</w:t>
      </w:r>
    </w:p>
    <w:p w14:paraId="109B4E62"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Tuli, E. (2023) 'Exploring digital banking adoption in developing Asian economies: Systematic literature review and bibliometric analysis', </w:t>
      </w:r>
      <w:r w:rsidRPr="002E3ED0">
        <w:rPr>
          <w:rStyle w:val="Emphasis"/>
          <w:color w:val="0F1115"/>
        </w:rPr>
        <w:t>International Social Science Journal</w:t>
      </w:r>
      <w:r w:rsidRPr="002E3ED0">
        <w:rPr>
          <w:color w:val="0F1115"/>
        </w:rPr>
        <w:t>. doi:10.1111/issj.12463.</w:t>
      </w:r>
    </w:p>
    <w:p w14:paraId="311AAD64"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Tyndall, J. (2010) </w:t>
      </w:r>
      <w:r w:rsidRPr="002E3ED0">
        <w:rPr>
          <w:rStyle w:val="Emphasis"/>
          <w:color w:val="0F1115"/>
        </w:rPr>
        <w:t>AACODS Checklist: Authority, Accuracy, Coverage, Objectivity, Date, Significance</w:t>
      </w:r>
      <w:r w:rsidRPr="002E3ED0">
        <w:rPr>
          <w:color w:val="0F1115"/>
        </w:rPr>
        <w:t>. Flinders University.</w:t>
      </w:r>
    </w:p>
    <w:p w14:paraId="677A9A1C"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UK Finance (2025) </w:t>
      </w:r>
      <w:r w:rsidRPr="002E3ED0">
        <w:rPr>
          <w:rStyle w:val="Emphasis"/>
          <w:color w:val="0F1115"/>
        </w:rPr>
        <w:t>Moving fraud prevention upstream: Why collaboration is the only sustainable defence</w:t>
      </w:r>
      <w:r w:rsidRPr="002E3ED0">
        <w:rPr>
          <w:color w:val="0F1115"/>
        </w:rPr>
        <w:t>. Available at: </w:t>
      </w:r>
      <w:hyperlink r:id="rId20" w:tgtFrame="_blank" w:history="1">
        <w:r w:rsidRPr="002E3ED0">
          <w:rPr>
            <w:rStyle w:val="Hyperlink"/>
          </w:rPr>
          <w:t>https://www.ukfinance.org.uk/news-and-insight/blog/moving-fraud-prevention-upstream-why-collaboration-only-sustainable-defence</w:t>
        </w:r>
      </w:hyperlink>
      <w:r w:rsidRPr="002E3ED0">
        <w:rPr>
          <w:color w:val="0F1115"/>
        </w:rPr>
        <w:t> (Accessed: 13 July 2026).</w:t>
      </w:r>
    </w:p>
    <w:p w14:paraId="65771AA2"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Viet Ha, Y.W.A.B.B.N.P.T., Ben, Y.W.A., Bouebdallah, N. and Pham, T.V.H. (2026) 'Trust Dynamics and Perceived Risk in Mobile Banking: Insights from the Financial Sector in Vietnam', in </w:t>
      </w:r>
      <w:r w:rsidRPr="002E3ED0">
        <w:rPr>
          <w:rStyle w:val="Emphasis"/>
          <w:color w:val="0F1115"/>
        </w:rPr>
        <w:t>Financial Technology and Digital Banking</w:t>
      </w:r>
      <w:r w:rsidRPr="002E3ED0">
        <w:rPr>
          <w:color w:val="0F1115"/>
        </w:rPr>
        <w:t>. Singapore: World Scientific, pp.171–198.</w:t>
      </w:r>
    </w:p>
    <w:p w14:paraId="2545995C"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lastRenderedPageBreak/>
        <w:t>Wenxiang, Z., Siyal, S., Riaz, S., Ahmad, R., Hilmi, M.F. and Li, Z. (2023) 'Data Security, Customer Trust and Intention for Adoption of Fintech Services: An Empirical Analysis From Commercial Bank Users in Pakistan', </w:t>
      </w:r>
      <w:r w:rsidRPr="002E3ED0">
        <w:rPr>
          <w:rStyle w:val="Emphasis"/>
          <w:color w:val="0F1115"/>
        </w:rPr>
        <w:t>SAGE Open</w:t>
      </w:r>
      <w:r w:rsidRPr="002E3ED0">
        <w:rPr>
          <w:color w:val="0F1115"/>
        </w:rPr>
        <w:t>, 13(3). doi:10.1177/21582440231181388.</w:t>
      </w:r>
    </w:p>
    <w:p w14:paraId="7A193676"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Wilson, C. and Tam, C. (2026a) 'Security Challenges in Open Banking: A Systematic Review and Conceptualisation of a Tri-Dimensional Security Framework', </w:t>
      </w:r>
      <w:r w:rsidRPr="002E3ED0">
        <w:rPr>
          <w:rStyle w:val="Emphasis"/>
          <w:color w:val="0F1115"/>
        </w:rPr>
        <w:t>FinTech</w:t>
      </w:r>
      <w:r w:rsidRPr="002E3ED0">
        <w:rPr>
          <w:color w:val="0F1115"/>
        </w:rPr>
        <w:t>, 5(2), p.38. doi:10.3390/fintech5020038.</w:t>
      </w:r>
    </w:p>
    <w:p w14:paraId="344B371E"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Wilson, J.M. and Tam, R.W. (2026b) 'Open Banking Security Research: A Systematic Review of 117 Studies', </w:t>
      </w:r>
      <w:r w:rsidRPr="002E3ED0">
        <w:rPr>
          <w:rStyle w:val="Emphasis"/>
          <w:color w:val="0F1115"/>
        </w:rPr>
        <w:t>Journal of Financial Crime</w:t>
      </w:r>
      <w:r w:rsidRPr="002E3ED0">
        <w:rPr>
          <w:color w:val="0F1115"/>
        </w:rPr>
        <w:t>, 33(2), pp.215-241.</w:t>
      </w:r>
    </w:p>
    <w:p w14:paraId="448E4341"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Wisedpanich, N. and Wittayakom, S. (2026) 'Toward a behavioural framework for virtual banking adoption: A systematic review integrating trust, risk, digital literacy, and innovativeness in emerging economies', </w:t>
      </w:r>
      <w:r w:rsidRPr="002E3ED0">
        <w:rPr>
          <w:rStyle w:val="Emphasis"/>
          <w:color w:val="0F1115"/>
        </w:rPr>
        <w:t>Multidisciplinary Reviews</w:t>
      </w:r>
      <w:r w:rsidRPr="002E3ED0">
        <w:rPr>
          <w:color w:val="0F1115"/>
        </w:rPr>
        <w:t>, 9(9), p.2026456. doi:10.31893/multirev.2026456.</w:t>
      </w:r>
    </w:p>
    <w:p w14:paraId="20B6E7C9" w14:textId="77777777" w:rsidR="002E3ED0" w:rsidRPr="002E3ED0" w:rsidRDefault="002E3ED0" w:rsidP="002E3ED0">
      <w:pPr>
        <w:pStyle w:val="ds-markdown-paragraph"/>
        <w:shd w:val="clear" w:color="auto" w:fill="FFFFFF"/>
        <w:spacing w:before="240" w:beforeAutospacing="0" w:after="240" w:afterAutospacing="0"/>
        <w:rPr>
          <w:color w:val="0F1115"/>
        </w:rPr>
      </w:pPr>
      <w:r w:rsidRPr="002E3ED0">
        <w:rPr>
          <w:color w:val="0F1115"/>
        </w:rPr>
        <w:t>Yang, C. (2025) 'Protecting financial consumers from authorized push payment fraud: is reimbursement an optimal solution?', </w:t>
      </w:r>
      <w:r w:rsidRPr="002E3ED0">
        <w:rPr>
          <w:rStyle w:val="Emphasis"/>
          <w:color w:val="0F1115"/>
        </w:rPr>
        <w:t>Journal of Financial Regulation and Compliance</w:t>
      </w:r>
      <w:r w:rsidRPr="002E3ED0">
        <w:rPr>
          <w:color w:val="0F1115"/>
        </w:rPr>
        <w:t>, 33(4), pp.642-653. doi:10.1108/JFRC-11-2024-0225.</w:t>
      </w:r>
    </w:p>
    <w:p w14:paraId="1AF2B06E" w14:textId="77777777" w:rsidR="00526150" w:rsidRPr="002E3ED0" w:rsidRDefault="00526150" w:rsidP="00D63787">
      <w:pPr>
        <w:widowControl w:val="0"/>
        <w:spacing w:after="240" w:line="360" w:lineRule="auto"/>
        <w:rPr>
          <w:rFonts w:ascii="Times New Roman" w:eastAsia="Times New Roman" w:hAnsi="Times New Roman" w:cs="Times New Roman"/>
          <w:sz w:val="24"/>
          <w:szCs w:val="24"/>
        </w:rPr>
      </w:pPr>
    </w:p>
    <w:p w14:paraId="6B672C8C" w14:textId="77777777" w:rsidR="0025521E" w:rsidRPr="002E3ED0" w:rsidRDefault="0025521E" w:rsidP="00D63787">
      <w:pPr>
        <w:widowControl w:val="0"/>
        <w:spacing w:after="240" w:line="360" w:lineRule="auto"/>
        <w:rPr>
          <w:rFonts w:ascii="Times New Roman" w:eastAsia="Times New Roman" w:hAnsi="Times New Roman" w:cs="Times New Roman"/>
          <w:sz w:val="24"/>
          <w:szCs w:val="24"/>
        </w:rPr>
      </w:pPr>
      <w:r w:rsidRPr="002E3ED0">
        <w:rPr>
          <w:rFonts w:ascii="Times New Roman" w:hAnsi="Times New Roman" w:cs="Times New Roman"/>
          <w:sz w:val="24"/>
          <w:szCs w:val="24"/>
        </w:rPr>
        <w:br w:type="page"/>
      </w:r>
    </w:p>
    <w:p w14:paraId="7024E6BA" w14:textId="77777777" w:rsidR="009843C1" w:rsidRPr="002E3ED0" w:rsidRDefault="0025521E" w:rsidP="00BC0071">
      <w:pPr>
        <w:pStyle w:val="Heading1"/>
      </w:pPr>
      <w:bookmarkStart w:id="69" w:name="_Toc238751517"/>
      <w:r w:rsidRPr="002E3ED0">
        <w:lastRenderedPageBreak/>
        <w:t>Appendix</w:t>
      </w:r>
      <w:bookmarkEnd w:id="69"/>
    </w:p>
    <w:p w14:paraId="52B44EC0" w14:textId="4AC6A9C7" w:rsidR="0025521E" w:rsidRPr="002E3ED0" w:rsidRDefault="00526150" w:rsidP="00BC0071">
      <w:pPr>
        <w:pStyle w:val="Heading2"/>
      </w:pPr>
      <w:bookmarkStart w:id="70" w:name="_Toc238751518"/>
      <w:r w:rsidRPr="002E3ED0">
        <w:t>Appendix A</w:t>
      </w:r>
      <w:r w:rsidR="002E3ED0" w:rsidRPr="002E3ED0">
        <w:t xml:space="preserve"> (Table 1)</w:t>
      </w:r>
      <w:r w:rsidRPr="002E3ED0">
        <w:t>: Summary of Included Studies</w:t>
      </w:r>
      <w:bookmarkEnd w:id="70"/>
    </w:p>
    <w:tbl>
      <w:tblPr>
        <w:tblStyle w:val="GridTable4-Accent1"/>
        <w:tblW w:w="11895" w:type="dxa"/>
        <w:tblInd w:w="-1265" w:type="dxa"/>
        <w:tblLayout w:type="fixed"/>
        <w:tblLook w:val="04A0" w:firstRow="1" w:lastRow="0" w:firstColumn="1" w:lastColumn="0" w:noHBand="0" w:noVBand="1"/>
      </w:tblPr>
      <w:tblGrid>
        <w:gridCol w:w="1171"/>
        <w:gridCol w:w="1800"/>
        <w:gridCol w:w="1980"/>
        <w:gridCol w:w="2081"/>
        <w:gridCol w:w="2073"/>
        <w:gridCol w:w="2790"/>
      </w:tblGrid>
      <w:tr w:rsidR="0025521E" w:rsidRPr="002E3ED0" w14:paraId="015862A4" w14:textId="77777777" w:rsidTr="002552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1" w:type="dxa"/>
            <w:hideMark/>
          </w:tcPr>
          <w:p w14:paraId="6A3E0C37" w14:textId="77777777" w:rsidR="0025521E" w:rsidRPr="002E3ED0" w:rsidRDefault="0025521E" w:rsidP="00875014">
            <w:pPr>
              <w:spacing w:line="360" w:lineRule="auto"/>
              <w:rPr>
                <w:rFonts w:ascii="Times New Roman" w:hAnsi="Times New Roman" w:cs="Times New Roman"/>
                <w:color w:val="auto"/>
                <w:sz w:val="24"/>
                <w:szCs w:val="24"/>
              </w:rPr>
            </w:pPr>
            <w:r w:rsidRPr="002E3ED0">
              <w:rPr>
                <w:rFonts w:ascii="Times New Roman" w:hAnsi="Times New Roman" w:cs="Times New Roman"/>
                <w:color w:val="auto"/>
                <w:sz w:val="24"/>
                <w:szCs w:val="24"/>
              </w:rPr>
              <w:t>Author(s) &amp; Year</w:t>
            </w:r>
          </w:p>
        </w:tc>
        <w:tc>
          <w:tcPr>
            <w:tcW w:w="1800" w:type="dxa"/>
            <w:hideMark/>
          </w:tcPr>
          <w:p w14:paraId="69678C78" w14:textId="77777777" w:rsidR="0025521E" w:rsidRPr="002E3ED0" w:rsidRDefault="0025521E" w:rsidP="00875014">
            <w:pPr>
              <w:spacing w:line="360" w:lineRule="auto"/>
              <w:ind w:left="3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2E3ED0">
              <w:rPr>
                <w:rFonts w:ascii="Times New Roman" w:hAnsi="Times New Roman" w:cs="Times New Roman"/>
                <w:color w:val="auto"/>
                <w:sz w:val="24"/>
                <w:szCs w:val="24"/>
              </w:rPr>
              <w:t>Purpose of Study</w:t>
            </w:r>
          </w:p>
        </w:tc>
        <w:tc>
          <w:tcPr>
            <w:tcW w:w="1980" w:type="dxa"/>
            <w:hideMark/>
          </w:tcPr>
          <w:p w14:paraId="4484C66A" w14:textId="77777777" w:rsidR="0025521E" w:rsidRPr="002E3ED0" w:rsidRDefault="0025521E" w:rsidP="00875014">
            <w:pPr>
              <w:spacing w:line="360" w:lineRule="auto"/>
              <w:ind w:left="3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2E3ED0">
              <w:rPr>
                <w:rFonts w:ascii="Times New Roman" w:hAnsi="Times New Roman" w:cs="Times New Roman"/>
                <w:color w:val="auto"/>
                <w:sz w:val="24"/>
                <w:szCs w:val="24"/>
              </w:rPr>
              <w:t>Methodology</w:t>
            </w:r>
          </w:p>
        </w:tc>
        <w:tc>
          <w:tcPr>
            <w:tcW w:w="2081" w:type="dxa"/>
            <w:hideMark/>
          </w:tcPr>
          <w:p w14:paraId="34BC9CC9" w14:textId="77777777" w:rsidR="0025521E" w:rsidRPr="002E3ED0" w:rsidRDefault="0025521E" w:rsidP="00875014">
            <w:pPr>
              <w:spacing w:line="360" w:lineRule="auto"/>
              <w:ind w:left="3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2E3ED0">
              <w:rPr>
                <w:rFonts w:ascii="Times New Roman" w:hAnsi="Times New Roman" w:cs="Times New Roman"/>
                <w:color w:val="auto"/>
                <w:sz w:val="24"/>
                <w:szCs w:val="24"/>
              </w:rPr>
              <w:t>Key Findings</w:t>
            </w:r>
          </w:p>
        </w:tc>
        <w:tc>
          <w:tcPr>
            <w:tcW w:w="2073" w:type="dxa"/>
            <w:hideMark/>
          </w:tcPr>
          <w:p w14:paraId="42D7A169" w14:textId="77777777" w:rsidR="0025521E" w:rsidRPr="002E3ED0" w:rsidRDefault="0025521E" w:rsidP="00875014">
            <w:pPr>
              <w:spacing w:line="360" w:lineRule="auto"/>
              <w:ind w:left="3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2E3ED0">
              <w:rPr>
                <w:rFonts w:ascii="Times New Roman" w:hAnsi="Times New Roman" w:cs="Times New Roman"/>
                <w:color w:val="auto"/>
                <w:sz w:val="24"/>
                <w:szCs w:val="24"/>
              </w:rPr>
              <w:t>Strengths &amp; Limitations</w:t>
            </w:r>
          </w:p>
        </w:tc>
        <w:tc>
          <w:tcPr>
            <w:tcW w:w="2790" w:type="dxa"/>
            <w:hideMark/>
          </w:tcPr>
          <w:p w14:paraId="6558238A" w14:textId="77777777" w:rsidR="0025521E" w:rsidRPr="002E3ED0" w:rsidRDefault="0025521E" w:rsidP="00875014">
            <w:pPr>
              <w:spacing w:line="360" w:lineRule="auto"/>
              <w:ind w:left="3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2E3ED0">
              <w:rPr>
                <w:rFonts w:ascii="Times New Roman" w:hAnsi="Times New Roman" w:cs="Times New Roman"/>
                <w:color w:val="auto"/>
                <w:sz w:val="24"/>
                <w:szCs w:val="24"/>
              </w:rPr>
              <w:t>Relevance to Your Study</w:t>
            </w:r>
          </w:p>
        </w:tc>
      </w:tr>
      <w:tr w:rsidR="0025521E" w:rsidRPr="002E3ED0" w14:paraId="1E2E4F05" w14:textId="77777777" w:rsidTr="00255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1" w:type="dxa"/>
            <w:hideMark/>
          </w:tcPr>
          <w:p w14:paraId="36CCEA92"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t>Abiola (2023)</w:t>
            </w:r>
          </w:p>
        </w:tc>
        <w:tc>
          <w:tcPr>
            <w:tcW w:w="1800" w:type="dxa"/>
            <w:hideMark/>
          </w:tcPr>
          <w:p w14:paraId="6E4FB755" w14:textId="77777777" w:rsidR="0025521E" w:rsidRPr="002E3ED0" w:rsidRDefault="0025521E" w:rsidP="00875014">
            <w:pPr>
              <w:spacing w:line="360" w:lineRule="auto"/>
              <w:ind w:left="-18" w:right="-193"/>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Examine factors affecting cybersecurity and how mobile banking app users perceive cybersecurity issues that may hinder banks' ability to expand mobile banking usage.</w:t>
            </w:r>
          </w:p>
        </w:tc>
        <w:tc>
          <w:tcPr>
            <w:tcW w:w="1980" w:type="dxa"/>
            <w:hideMark/>
          </w:tcPr>
          <w:p w14:paraId="03392A73" w14:textId="77777777" w:rsidR="0025521E" w:rsidRPr="002E3ED0" w:rsidRDefault="0025521E" w:rsidP="00875014">
            <w:pPr>
              <w:spacing w:line="360" w:lineRule="auto"/>
              <w:ind w:left="65"/>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Conceptual/literature review: Proposed conceptual research model illustrating relationships between variables affecting cybersecurity</w:t>
            </w:r>
          </w:p>
        </w:tc>
        <w:tc>
          <w:tcPr>
            <w:tcW w:w="2081" w:type="dxa"/>
            <w:hideMark/>
          </w:tcPr>
          <w:p w14:paraId="431E26EA"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Users view identity theft, impersonation, and account hijacking as cybersecurity threats impeding mobile banking use; Users who regard these concerns as real are hesitant to embrace mobile banking.</w:t>
            </w:r>
          </w:p>
        </w:tc>
        <w:tc>
          <w:tcPr>
            <w:tcW w:w="2073" w:type="dxa"/>
            <w:hideMark/>
          </w:tcPr>
          <w:p w14:paraId="76C7AE22" w14:textId="77777777" w:rsidR="0025521E" w:rsidRPr="002E3ED0" w:rsidRDefault="0025521E" w:rsidP="00875014">
            <w:pPr>
              <w:spacing w:line="360" w:lineRule="auto"/>
              <w:ind w:left="54"/>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Strengths:</w:t>
            </w:r>
            <w:r w:rsidRPr="002E3ED0">
              <w:rPr>
                <w:rFonts w:ascii="Times New Roman" w:hAnsi="Times New Roman" w:cs="Times New Roman"/>
                <w:sz w:val="24"/>
                <w:szCs w:val="24"/>
              </w:rPr>
              <w:t> Addresses user perspectives on security; Contributes to cybersecurity theory.</w:t>
            </w:r>
          </w:p>
          <w:p w14:paraId="65703800" w14:textId="77777777" w:rsidR="0025521E" w:rsidRPr="002E3ED0" w:rsidRDefault="0025521E" w:rsidP="00875014">
            <w:pPr>
              <w:spacing w:line="360" w:lineRule="auto"/>
              <w:ind w:left="54"/>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Conceptual only; No empirical data; Not UK-specific</w:t>
            </w:r>
          </w:p>
        </w:tc>
        <w:tc>
          <w:tcPr>
            <w:tcW w:w="2790" w:type="dxa"/>
            <w:hideMark/>
          </w:tcPr>
          <w:p w14:paraId="1D213656" w14:textId="77777777" w:rsidR="0025521E" w:rsidRPr="002E3ED0" w:rsidRDefault="0025521E" w:rsidP="00875014">
            <w:pPr>
              <w:spacing w:line="360" w:lineRule="auto"/>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Provides insights into user perceptions of cybersecurity threats; Useful for understanding psychological barriers to digital banking adoption; Informs the security perception dimension</w:t>
            </w:r>
          </w:p>
        </w:tc>
      </w:tr>
      <w:tr w:rsidR="0025521E" w:rsidRPr="002E3ED0" w14:paraId="547D6082" w14:textId="77777777" w:rsidTr="0025521E">
        <w:tc>
          <w:tcPr>
            <w:cnfStyle w:val="001000000000" w:firstRow="0" w:lastRow="0" w:firstColumn="1" w:lastColumn="0" w:oddVBand="0" w:evenVBand="0" w:oddHBand="0" w:evenHBand="0" w:firstRowFirstColumn="0" w:firstRowLastColumn="0" w:lastRowFirstColumn="0" w:lastRowLastColumn="0"/>
            <w:tcW w:w="1171" w:type="dxa"/>
            <w:hideMark/>
          </w:tcPr>
          <w:p w14:paraId="719A3B1F" w14:textId="77777777" w:rsidR="0025521E" w:rsidRPr="002E3ED0" w:rsidRDefault="0025521E" w:rsidP="00875014">
            <w:pPr>
              <w:spacing w:line="360" w:lineRule="auto"/>
              <w:ind w:left="-17"/>
              <w:rPr>
                <w:rFonts w:ascii="Times New Roman" w:hAnsi="Times New Roman" w:cs="Times New Roman"/>
                <w:sz w:val="24"/>
                <w:szCs w:val="24"/>
              </w:rPr>
            </w:pPr>
            <w:r w:rsidRPr="002E3ED0">
              <w:rPr>
                <w:rFonts w:ascii="Times New Roman" w:hAnsi="Times New Roman" w:cs="Times New Roman"/>
                <w:sz w:val="24"/>
                <w:szCs w:val="24"/>
              </w:rPr>
              <w:t>Afzal et al. (2024)</w:t>
            </w:r>
          </w:p>
        </w:tc>
        <w:tc>
          <w:tcPr>
            <w:tcW w:w="1800" w:type="dxa"/>
            <w:hideMark/>
          </w:tcPr>
          <w:p w14:paraId="44DAF8F7" w14:textId="77777777" w:rsidR="0025521E" w:rsidRPr="002E3ED0" w:rsidRDefault="0025521E" w:rsidP="00875014">
            <w:pPr>
              <w:spacing w:line="360" w:lineRule="auto"/>
              <w:ind w:left="-18"/>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Incorporates cybersecurity knowledge and awareness with TAM to examine the association with usage intention among e-banking users in India.</w:t>
            </w:r>
          </w:p>
        </w:tc>
        <w:tc>
          <w:tcPr>
            <w:tcW w:w="1980" w:type="dxa"/>
            <w:hideMark/>
          </w:tcPr>
          <w:p w14:paraId="1F8DFA5E" w14:textId="77777777" w:rsidR="0025521E" w:rsidRPr="002E3ED0" w:rsidRDefault="0025521E" w:rsidP="00875014">
            <w:pPr>
              <w:spacing w:line="360" w:lineRule="auto"/>
              <w:ind w:left="-18"/>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CB-SEM; N=428 e-banking users in India</w:t>
            </w:r>
          </w:p>
        </w:tc>
        <w:tc>
          <w:tcPr>
            <w:tcW w:w="2081" w:type="dxa"/>
            <w:hideMark/>
          </w:tcPr>
          <w:p w14:paraId="24CAAB70" w14:textId="77777777" w:rsidR="0025521E" w:rsidRPr="002E3ED0" w:rsidRDefault="0025521E" w:rsidP="00875014">
            <w:pPr>
              <w:spacing w:line="360" w:lineRule="auto"/>
              <w:ind w:left="-18"/>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Cybersecurity knowledge and awareness positively influence e-banking usage intention; Users' behavioural protection is influenced by knowledge and awareness; Consistent with TAM theory</w:t>
            </w:r>
          </w:p>
        </w:tc>
        <w:tc>
          <w:tcPr>
            <w:tcW w:w="2073" w:type="dxa"/>
            <w:hideMark/>
          </w:tcPr>
          <w:p w14:paraId="0E1F9F83" w14:textId="77777777" w:rsidR="0025521E" w:rsidRPr="002E3ED0" w:rsidRDefault="0025521E" w:rsidP="00875014">
            <w:pPr>
              <w:spacing w:line="360" w:lineRule="auto"/>
              <w:ind w:left="-18"/>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Strengths:</w:t>
            </w:r>
            <w:r w:rsidRPr="002E3ED0">
              <w:rPr>
                <w:rFonts w:ascii="Times New Roman" w:hAnsi="Times New Roman" w:cs="Times New Roman"/>
                <w:sz w:val="24"/>
                <w:szCs w:val="24"/>
              </w:rPr>
              <w:t> Robust sample size; Integrated theoretical framework </w:t>
            </w: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India-specific; Cross-sectional design limits causality</w:t>
            </w:r>
          </w:p>
        </w:tc>
        <w:tc>
          <w:tcPr>
            <w:tcW w:w="2790" w:type="dxa"/>
            <w:hideMark/>
          </w:tcPr>
          <w:p w14:paraId="6E37246D" w14:textId="77777777" w:rsidR="0025521E" w:rsidRPr="002E3ED0" w:rsidRDefault="0025521E" w:rsidP="00875014">
            <w:pPr>
              <w:spacing w:line="360" w:lineRule="auto"/>
              <w:ind w:left="-18"/>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Demonstrates the importance of cybersecurity awareness in adoption; Informs behavioural factor analysis; Provides methodological insights for SEM application</w:t>
            </w:r>
          </w:p>
        </w:tc>
      </w:tr>
      <w:tr w:rsidR="0025521E" w:rsidRPr="002E3ED0" w14:paraId="56DD1BE9" w14:textId="77777777" w:rsidTr="00255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1" w:type="dxa"/>
            <w:hideMark/>
          </w:tcPr>
          <w:p w14:paraId="68EC3F41" w14:textId="77777777" w:rsidR="0025521E" w:rsidRPr="002E3ED0" w:rsidRDefault="0025521E" w:rsidP="00875014">
            <w:pPr>
              <w:spacing w:line="360" w:lineRule="auto"/>
              <w:ind w:left="73"/>
              <w:rPr>
                <w:rFonts w:ascii="Times New Roman" w:hAnsi="Times New Roman" w:cs="Times New Roman"/>
                <w:sz w:val="24"/>
                <w:szCs w:val="24"/>
              </w:rPr>
            </w:pPr>
            <w:r w:rsidRPr="002E3ED0">
              <w:rPr>
                <w:rFonts w:ascii="Times New Roman" w:hAnsi="Times New Roman" w:cs="Times New Roman"/>
                <w:sz w:val="24"/>
                <w:szCs w:val="24"/>
              </w:rPr>
              <w:lastRenderedPageBreak/>
              <w:t>Almaiah et al. (2022)</w:t>
            </w:r>
          </w:p>
        </w:tc>
        <w:tc>
          <w:tcPr>
            <w:tcW w:w="1800" w:type="dxa"/>
            <w:hideMark/>
          </w:tcPr>
          <w:p w14:paraId="4A438D42"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Analyse the satisfaction and behavioural intentions of Malaysian customers using Internet Banking, applying ISSM integrated with UTAUT.</w:t>
            </w:r>
          </w:p>
        </w:tc>
        <w:tc>
          <w:tcPr>
            <w:tcW w:w="1980" w:type="dxa"/>
            <w:hideMark/>
          </w:tcPr>
          <w:p w14:paraId="1C8F055B"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SEM; N=362 Malaysian e-banking users</w:t>
            </w:r>
          </w:p>
        </w:tc>
        <w:tc>
          <w:tcPr>
            <w:tcW w:w="2081" w:type="dxa"/>
            <w:hideMark/>
          </w:tcPr>
          <w:p w14:paraId="35CD2882"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Most Online Banking users are satisfied with the system; the Online Banking System is generally accepted in the Malaysian community</w:t>
            </w:r>
          </w:p>
        </w:tc>
        <w:tc>
          <w:tcPr>
            <w:tcW w:w="2073" w:type="dxa"/>
            <w:hideMark/>
          </w:tcPr>
          <w:p w14:paraId="1A97E2C3"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Strengths:</w:t>
            </w:r>
            <w:r w:rsidRPr="002E3ED0">
              <w:rPr>
                <w:rFonts w:ascii="Times New Roman" w:hAnsi="Times New Roman" w:cs="Times New Roman"/>
                <w:sz w:val="24"/>
                <w:szCs w:val="24"/>
              </w:rPr>
              <w:t> Integrated theoretical model; Validated instruments </w:t>
            </w: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Malaysia-specific only; Limited generalisability</w:t>
            </w:r>
          </w:p>
        </w:tc>
        <w:tc>
          <w:tcPr>
            <w:tcW w:w="2790" w:type="dxa"/>
            <w:hideMark/>
          </w:tcPr>
          <w:p w14:paraId="4FE31D05"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Validates integration of ISSM and UTAUT for digital banking research; Informs theoretical framework development; Highlights perceived risk and price value factors</w:t>
            </w:r>
          </w:p>
        </w:tc>
      </w:tr>
      <w:tr w:rsidR="0025521E" w:rsidRPr="002E3ED0" w14:paraId="4080C942" w14:textId="77777777" w:rsidTr="0025521E">
        <w:tc>
          <w:tcPr>
            <w:cnfStyle w:val="001000000000" w:firstRow="0" w:lastRow="0" w:firstColumn="1" w:lastColumn="0" w:oddVBand="0" w:evenVBand="0" w:oddHBand="0" w:evenHBand="0" w:firstRowFirstColumn="0" w:firstRowLastColumn="0" w:lastRowFirstColumn="0" w:lastRowLastColumn="0"/>
            <w:tcW w:w="1171" w:type="dxa"/>
            <w:hideMark/>
          </w:tcPr>
          <w:p w14:paraId="7B84A457" w14:textId="77777777" w:rsidR="0025521E" w:rsidRPr="002E3ED0" w:rsidRDefault="0025521E" w:rsidP="00875014">
            <w:pPr>
              <w:spacing w:line="360" w:lineRule="auto"/>
              <w:ind w:left="73"/>
              <w:rPr>
                <w:rFonts w:ascii="Times New Roman" w:hAnsi="Times New Roman" w:cs="Times New Roman"/>
                <w:sz w:val="24"/>
                <w:szCs w:val="24"/>
              </w:rPr>
            </w:pPr>
            <w:r w:rsidRPr="002E3ED0">
              <w:rPr>
                <w:rFonts w:ascii="Times New Roman" w:hAnsi="Times New Roman" w:cs="Times New Roman"/>
                <w:sz w:val="24"/>
                <w:szCs w:val="24"/>
              </w:rPr>
              <w:t>Apau et al. (2025)</w:t>
            </w:r>
          </w:p>
        </w:tc>
        <w:tc>
          <w:tcPr>
            <w:tcW w:w="1800" w:type="dxa"/>
            <w:hideMark/>
          </w:tcPr>
          <w:p w14:paraId="2AA1909F"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Expand UTAUT2 to include security, risk, institutional trust, and technology trust to understand m-banking app adoption.</w:t>
            </w:r>
          </w:p>
        </w:tc>
        <w:tc>
          <w:tcPr>
            <w:tcW w:w="1980" w:type="dxa"/>
            <w:hideMark/>
          </w:tcPr>
          <w:p w14:paraId="1335F6B6"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CB-SEM; Online survey; N=315 mobile banking users</w:t>
            </w:r>
          </w:p>
        </w:tc>
        <w:tc>
          <w:tcPr>
            <w:tcW w:w="2081" w:type="dxa"/>
            <w:hideMark/>
          </w:tcPr>
          <w:p w14:paraId="18465A85"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Additional constructs confirmed to affect user intention, except perceived risk; the model explained 79% variance in BI and 54.7% in UB; Age, gender, experience, income, and education moderated impacts</w:t>
            </w:r>
          </w:p>
        </w:tc>
        <w:tc>
          <w:tcPr>
            <w:tcW w:w="2073" w:type="dxa"/>
            <w:hideMark/>
          </w:tcPr>
          <w:p w14:paraId="5E0B4ED8"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Strengths:</w:t>
            </w:r>
            <w:r w:rsidRPr="002E3ED0">
              <w:rPr>
                <w:rFonts w:ascii="Times New Roman" w:hAnsi="Times New Roman" w:cs="Times New Roman"/>
                <w:sz w:val="24"/>
                <w:szCs w:val="24"/>
              </w:rPr>
              <w:t> Comprehensive model; High explanatory power; Addresses demographic moderators.</w:t>
            </w:r>
          </w:p>
          <w:p w14:paraId="72DCACF3"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Cross-sectional; Self-report data</w:t>
            </w:r>
          </w:p>
        </w:tc>
        <w:tc>
          <w:tcPr>
            <w:tcW w:w="2790" w:type="dxa"/>
            <w:hideMark/>
          </w:tcPr>
          <w:p w14:paraId="16E3E97B"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Highly relevant: Directly examines security and trust in mobile banking; Validates expanded UTAUT2; Provides a model for replication; Addresses demographic factors.</w:t>
            </w:r>
          </w:p>
        </w:tc>
      </w:tr>
      <w:tr w:rsidR="0025521E" w:rsidRPr="002E3ED0" w14:paraId="7A00EDCB" w14:textId="77777777" w:rsidTr="00255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1" w:type="dxa"/>
            <w:hideMark/>
          </w:tcPr>
          <w:p w14:paraId="27B5BDF2"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t>Cele &amp; Kwenda (2024)</w:t>
            </w:r>
          </w:p>
        </w:tc>
        <w:tc>
          <w:tcPr>
            <w:tcW w:w="1800" w:type="dxa"/>
            <w:hideMark/>
          </w:tcPr>
          <w:p w14:paraId="0244C602"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 xml:space="preserve">Identify cybersecurity threats hindering digital banking adoption and </w:t>
            </w:r>
            <w:r w:rsidRPr="002E3ED0">
              <w:rPr>
                <w:rFonts w:ascii="Times New Roman" w:hAnsi="Times New Roman" w:cs="Times New Roman"/>
                <w:sz w:val="24"/>
                <w:szCs w:val="24"/>
              </w:rPr>
              <w:lastRenderedPageBreak/>
              <w:t>provide sustainable strategies to combat cybersecurity risks.</w:t>
            </w:r>
          </w:p>
        </w:tc>
        <w:tc>
          <w:tcPr>
            <w:tcW w:w="1980" w:type="dxa"/>
            <w:hideMark/>
          </w:tcPr>
          <w:p w14:paraId="236CED15"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lastRenderedPageBreak/>
              <w:t>Systematic Literature Review; 84 initial studies; 58 included after eligibility criteria</w:t>
            </w:r>
          </w:p>
        </w:tc>
        <w:tc>
          <w:tcPr>
            <w:tcW w:w="2081" w:type="dxa"/>
            <w:hideMark/>
          </w:tcPr>
          <w:p w14:paraId="24CFF482"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 xml:space="preserve">Consistently identified identity theft, malware attacks, phishing and vishing as significant </w:t>
            </w:r>
            <w:r w:rsidRPr="002E3ED0">
              <w:rPr>
                <w:rFonts w:ascii="Times New Roman" w:hAnsi="Times New Roman" w:cs="Times New Roman"/>
                <w:sz w:val="24"/>
                <w:szCs w:val="24"/>
              </w:rPr>
              <w:lastRenderedPageBreak/>
              <w:t>cybersecurity threats hindering digital banking adoption.</w:t>
            </w:r>
          </w:p>
        </w:tc>
        <w:tc>
          <w:tcPr>
            <w:tcW w:w="2073" w:type="dxa"/>
            <w:hideMark/>
          </w:tcPr>
          <w:p w14:paraId="58E3DA58"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lastRenderedPageBreak/>
              <w:t>Strengths:</w:t>
            </w:r>
            <w:r w:rsidRPr="002E3ED0">
              <w:rPr>
                <w:rFonts w:ascii="Times New Roman" w:hAnsi="Times New Roman" w:cs="Times New Roman"/>
                <w:sz w:val="24"/>
                <w:szCs w:val="24"/>
              </w:rPr>
              <w:t> Systematic approach; Comprehensive synthesis.</w:t>
            </w:r>
          </w:p>
          <w:p w14:paraId="383C47DF"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xml:space="preserve"> No UK focus; Limited </w:t>
            </w:r>
            <w:r w:rsidRPr="002E3ED0">
              <w:rPr>
                <w:rFonts w:ascii="Times New Roman" w:hAnsi="Times New Roman" w:cs="Times New Roman"/>
                <w:sz w:val="24"/>
                <w:szCs w:val="24"/>
              </w:rPr>
              <w:lastRenderedPageBreak/>
              <w:t>to threat identification</w:t>
            </w:r>
          </w:p>
        </w:tc>
        <w:tc>
          <w:tcPr>
            <w:tcW w:w="2790" w:type="dxa"/>
            <w:hideMark/>
          </w:tcPr>
          <w:p w14:paraId="7B9E110C"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lastRenderedPageBreak/>
              <w:t xml:space="preserve">Provides a foundation for understanding cybersecurity threats; Informs security perception factors; is </w:t>
            </w:r>
            <w:r w:rsidRPr="002E3ED0">
              <w:rPr>
                <w:rFonts w:ascii="Times New Roman" w:hAnsi="Times New Roman" w:cs="Times New Roman"/>
                <w:sz w:val="24"/>
                <w:szCs w:val="24"/>
              </w:rPr>
              <w:lastRenderedPageBreak/>
              <w:t>useful for developing research instruments</w:t>
            </w:r>
          </w:p>
        </w:tc>
      </w:tr>
      <w:tr w:rsidR="0025521E" w:rsidRPr="002E3ED0" w14:paraId="4E8463BA" w14:textId="77777777" w:rsidTr="0025521E">
        <w:tc>
          <w:tcPr>
            <w:cnfStyle w:val="001000000000" w:firstRow="0" w:lastRow="0" w:firstColumn="1" w:lastColumn="0" w:oddVBand="0" w:evenVBand="0" w:oddHBand="0" w:evenHBand="0" w:firstRowFirstColumn="0" w:firstRowLastColumn="0" w:lastRowFirstColumn="0" w:lastRowLastColumn="0"/>
            <w:tcW w:w="1171" w:type="dxa"/>
            <w:hideMark/>
          </w:tcPr>
          <w:p w14:paraId="10AF8F71"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lastRenderedPageBreak/>
              <w:t>Chang et al. (2025)</w:t>
            </w:r>
          </w:p>
        </w:tc>
        <w:tc>
          <w:tcPr>
            <w:tcW w:w="1800" w:type="dxa"/>
            <w:hideMark/>
          </w:tcPr>
          <w:p w14:paraId="3A1E9DEB"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Investigate the COVID-19 pandemic impact on digital banking experience in Taiwan; Adapt the D&amp;M ISS model incorporating trust, security and privacy.</w:t>
            </w:r>
          </w:p>
        </w:tc>
        <w:tc>
          <w:tcPr>
            <w:tcW w:w="1980" w:type="dxa"/>
            <w:hideMark/>
          </w:tcPr>
          <w:p w14:paraId="439D1F3B"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Survey; N=362 consumers in Taiwan</w:t>
            </w:r>
          </w:p>
        </w:tc>
        <w:tc>
          <w:tcPr>
            <w:tcW w:w="2081" w:type="dxa"/>
            <w:hideMark/>
          </w:tcPr>
          <w:p w14:paraId="7DC3F29F"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Information, system and service quality influence satisfaction; System and service quality most significant influence on trust and satisfaction; Trust critical to satisfaction</w:t>
            </w:r>
          </w:p>
        </w:tc>
        <w:tc>
          <w:tcPr>
            <w:tcW w:w="2073" w:type="dxa"/>
            <w:hideMark/>
          </w:tcPr>
          <w:p w14:paraId="613FB5F2"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Strengths:</w:t>
            </w:r>
            <w:r w:rsidRPr="002E3ED0">
              <w:rPr>
                <w:rFonts w:ascii="Times New Roman" w:hAnsi="Times New Roman" w:cs="Times New Roman"/>
                <w:sz w:val="24"/>
                <w:szCs w:val="24"/>
              </w:rPr>
              <w:t> Validated ISSM application; Examines moderating effects.</w:t>
            </w:r>
          </w:p>
          <w:p w14:paraId="6433EC3D"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Taiwan-specific; Post-pandemic context may limit generalisability</w:t>
            </w:r>
          </w:p>
        </w:tc>
        <w:tc>
          <w:tcPr>
            <w:tcW w:w="2790" w:type="dxa"/>
            <w:hideMark/>
          </w:tcPr>
          <w:p w14:paraId="36FACC82"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Demonstrates integration of security, privacy and trust in ISSM framework; Informs quality-security-trust relationships; Useful for theoretical integration</w:t>
            </w:r>
          </w:p>
        </w:tc>
      </w:tr>
      <w:tr w:rsidR="0025521E" w:rsidRPr="002E3ED0" w14:paraId="7C0D7019" w14:textId="77777777" w:rsidTr="00255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1" w:type="dxa"/>
            <w:hideMark/>
          </w:tcPr>
          <w:p w14:paraId="47F2C1DE"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t>Chen (2026)</w:t>
            </w:r>
          </w:p>
        </w:tc>
        <w:tc>
          <w:tcPr>
            <w:tcW w:w="1800" w:type="dxa"/>
            <w:hideMark/>
          </w:tcPr>
          <w:p w14:paraId="47043FAF"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Explores the impact of FinTech security on the stability of commercial banks; Uses FinTech product security certification policy as an exogenous shock.</w:t>
            </w:r>
          </w:p>
        </w:tc>
        <w:tc>
          <w:tcPr>
            <w:tcW w:w="1980" w:type="dxa"/>
            <w:hideMark/>
          </w:tcPr>
          <w:p w14:paraId="090BF4D8"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Multi-period Difference-in-Differences (DID); N=373 commercial banks in China (2014-2023)</w:t>
            </w:r>
          </w:p>
        </w:tc>
        <w:tc>
          <w:tcPr>
            <w:tcW w:w="2081" w:type="dxa"/>
            <w:hideMark/>
          </w:tcPr>
          <w:p w14:paraId="2ABCB4E6"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 xml:space="preserve">Banks with valid FinTech security certification demonstrate greater stability; FinTech security reinforces customer trust and mitigates regulatory pressure; Small/medium banks should </w:t>
            </w:r>
            <w:r w:rsidRPr="002E3ED0">
              <w:rPr>
                <w:rFonts w:ascii="Times New Roman" w:hAnsi="Times New Roman" w:cs="Times New Roman"/>
                <w:sz w:val="24"/>
                <w:szCs w:val="24"/>
              </w:rPr>
              <w:lastRenderedPageBreak/>
              <w:t>prioritise FinTech security.</w:t>
            </w:r>
          </w:p>
        </w:tc>
        <w:tc>
          <w:tcPr>
            <w:tcW w:w="2073" w:type="dxa"/>
            <w:hideMark/>
          </w:tcPr>
          <w:p w14:paraId="24749866"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lastRenderedPageBreak/>
              <w:t>Strengths:</w:t>
            </w:r>
            <w:r w:rsidRPr="002E3ED0">
              <w:rPr>
                <w:rFonts w:ascii="Times New Roman" w:hAnsi="Times New Roman" w:cs="Times New Roman"/>
                <w:sz w:val="24"/>
                <w:szCs w:val="24"/>
              </w:rPr>
              <w:t> Robust quasi-experimental design; Large sample; Longitudinal data.</w:t>
            </w:r>
          </w:p>
          <w:p w14:paraId="2807476A"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China-specific; Banking stability focus rather than customer perception</w:t>
            </w:r>
          </w:p>
        </w:tc>
        <w:tc>
          <w:tcPr>
            <w:tcW w:w="2790" w:type="dxa"/>
            <w:hideMark/>
          </w:tcPr>
          <w:p w14:paraId="3A4B767D"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Provides evidence linking security to trust; Highlights regulatory dimension; Informs understanding of institutional trust mechanisms.</w:t>
            </w:r>
          </w:p>
        </w:tc>
      </w:tr>
      <w:tr w:rsidR="0025521E" w:rsidRPr="002E3ED0" w14:paraId="1DC08C2B" w14:textId="77777777" w:rsidTr="0025521E">
        <w:tc>
          <w:tcPr>
            <w:cnfStyle w:val="001000000000" w:firstRow="0" w:lastRow="0" w:firstColumn="1" w:lastColumn="0" w:oddVBand="0" w:evenVBand="0" w:oddHBand="0" w:evenHBand="0" w:firstRowFirstColumn="0" w:firstRowLastColumn="0" w:lastRowFirstColumn="0" w:lastRowLastColumn="0"/>
            <w:tcW w:w="1171" w:type="dxa"/>
            <w:hideMark/>
          </w:tcPr>
          <w:p w14:paraId="2A92755B"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t>Dabbous et al. (2020)</w:t>
            </w:r>
          </w:p>
        </w:tc>
        <w:tc>
          <w:tcPr>
            <w:tcW w:w="1800" w:type="dxa"/>
            <w:hideMark/>
          </w:tcPr>
          <w:p w14:paraId="4FACEAB7"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Examine antecedents of purchase intention in social commerce and mediating role of trust.</w:t>
            </w:r>
          </w:p>
        </w:tc>
        <w:tc>
          <w:tcPr>
            <w:tcW w:w="1980" w:type="dxa"/>
            <w:hideMark/>
          </w:tcPr>
          <w:p w14:paraId="37B55356"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SEM; Survey data</w:t>
            </w:r>
          </w:p>
        </w:tc>
        <w:tc>
          <w:tcPr>
            <w:tcW w:w="2081" w:type="dxa"/>
            <w:hideMark/>
          </w:tcPr>
          <w:p w14:paraId="424AD073"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Relationships between consumer engagement, brand awareness and purchase intention fully mediated by trust; Social interactions have a direct positive impact.</w:t>
            </w:r>
          </w:p>
        </w:tc>
        <w:tc>
          <w:tcPr>
            <w:tcW w:w="2073" w:type="dxa"/>
            <w:hideMark/>
          </w:tcPr>
          <w:p w14:paraId="4B2BAD2F"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Strengths:</w:t>
            </w:r>
            <w:r w:rsidRPr="002E3ED0">
              <w:rPr>
                <w:rFonts w:ascii="Times New Roman" w:hAnsi="Times New Roman" w:cs="Times New Roman"/>
                <w:sz w:val="24"/>
                <w:szCs w:val="24"/>
              </w:rPr>
              <w:t> Addresses trust mediation; Clear theoretical framework.</w:t>
            </w:r>
          </w:p>
          <w:p w14:paraId="659FC302"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Social commerce context; Not banking-specific</w:t>
            </w:r>
          </w:p>
        </w:tc>
        <w:tc>
          <w:tcPr>
            <w:tcW w:w="2790" w:type="dxa"/>
            <w:hideMark/>
          </w:tcPr>
          <w:p w14:paraId="3D0902E3"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Demonstrates trust's mediating role; Informs understanding of trust mechanisms; Useful for conceptualising trust in digital contexts</w:t>
            </w:r>
          </w:p>
        </w:tc>
      </w:tr>
      <w:tr w:rsidR="0025521E" w:rsidRPr="002E3ED0" w14:paraId="6DFFD59D" w14:textId="77777777" w:rsidTr="00255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1" w:type="dxa"/>
            <w:hideMark/>
          </w:tcPr>
          <w:p w14:paraId="7ECE0EF4"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t>Garrouch (2021)</w:t>
            </w:r>
          </w:p>
        </w:tc>
        <w:tc>
          <w:tcPr>
            <w:tcW w:w="1800" w:type="dxa"/>
            <w:hideMark/>
          </w:tcPr>
          <w:p w14:paraId="4220B5D4"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Proposes a technology adoption model including provider's reputation, profession, trust, perceived value, and security of mobile wallet applications</w:t>
            </w:r>
          </w:p>
        </w:tc>
        <w:tc>
          <w:tcPr>
            <w:tcW w:w="1980" w:type="dxa"/>
            <w:hideMark/>
          </w:tcPr>
          <w:p w14:paraId="7BEC6459"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Structural equation modelling; N=382 users; multi-group analysis</w:t>
            </w:r>
          </w:p>
        </w:tc>
        <w:tc>
          <w:tcPr>
            <w:tcW w:w="2081" w:type="dxa"/>
            <w:hideMark/>
          </w:tcPr>
          <w:p w14:paraId="36D29E79"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Provider's reputation impacts trust and perceived security; Both antecedents of continuance intention; Provider's profession moderates the reputation-trust relationship.</w:t>
            </w:r>
          </w:p>
        </w:tc>
        <w:tc>
          <w:tcPr>
            <w:tcW w:w="2073" w:type="dxa"/>
            <w:hideMark/>
          </w:tcPr>
          <w:p w14:paraId="4916506A"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Strengths:</w:t>
            </w:r>
            <w:r w:rsidRPr="002E3ED0">
              <w:rPr>
                <w:rFonts w:ascii="Times New Roman" w:hAnsi="Times New Roman" w:cs="Times New Roman"/>
                <w:sz w:val="24"/>
                <w:szCs w:val="24"/>
              </w:rPr>
              <w:t> Novel focus on provider reputation; multi-group analysis.</w:t>
            </w:r>
          </w:p>
          <w:p w14:paraId="7817BEC8"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Mobile wallet context; Not UK-specific</w:t>
            </w:r>
          </w:p>
        </w:tc>
        <w:tc>
          <w:tcPr>
            <w:tcW w:w="2790" w:type="dxa"/>
            <w:hideMark/>
          </w:tcPr>
          <w:p w14:paraId="41FEFB69"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Highlights importance of provider reputation and profession; Informs trust antecedents; Useful for understanding institutional factors</w:t>
            </w:r>
          </w:p>
        </w:tc>
      </w:tr>
      <w:tr w:rsidR="0025521E" w:rsidRPr="002E3ED0" w14:paraId="0A458E08" w14:textId="77777777" w:rsidTr="0025521E">
        <w:tc>
          <w:tcPr>
            <w:cnfStyle w:val="001000000000" w:firstRow="0" w:lastRow="0" w:firstColumn="1" w:lastColumn="0" w:oddVBand="0" w:evenVBand="0" w:oddHBand="0" w:evenHBand="0" w:firstRowFirstColumn="0" w:firstRowLastColumn="0" w:lastRowFirstColumn="0" w:lastRowLastColumn="0"/>
            <w:tcW w:w="1171" w:type="dxa"/>
            <w:hideMark/>
          </w:tcPr>
          <w:p w14:paraId="0AB2EC83"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t>Garzaro et al. (2020)</w:t>
            </w:r>
          </w:p>
        </w:tc>
        <w:tc>
          <w:tcPr>
            <w:tcW w:w="1800" w:type="dxa"/>
            <w:hideMark/>
          </w:tcPr>
          <w:p w14:paraId="0D281677"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 xml:space="preserve">Verify effect of interactivity and social presence on engagement, brand experience, satisfaction and </w:t>
            </w:r>
            <w:r w:rsidRPr="002E3ED0">
              <w:rPr>
                <w:rFonts w:ascii="Times New Roman" w:hAnsi="Times New Roman" w:cs="Times New Roman"/>
                <w:sz w:val="24"/>
                <w:szCs w:val="24"/>
              </w:rPr>
              <w:lastRenderedPageBreak/>
              <w:t>loyalty; Compare website vs app channels.</w:t>
            </w:r>
          </w:p>
        </w:tc>
        <w:tc>
          <w:tcPr>
            <w:tcW w:w="1980" w:type="dxa"/>
            <w:hideMark/>
          </w:tcPr>
          <w:p w14:paraId="55F28189"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lastRenderedPageBreak/>
              <w:t>Quantitative; SEM with PLS-MGA; N=390 users of banking websites and mobile banking</w:t>
            </w:r>
          </w:p>
        </w:tc>
        <w:tc>
          <w:tcPr>
            <w:tcW w:w="2081" w:type="dxa"/>
            <w:hideMark/>
          </w:tcPr>
          <w:p w14:paraId="53604859"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Positive effects of interactivity and social presence on brand engagement; Brand experience mediates engagement-</w:t>
            </w:r>
            <w:r w:rsidRPr="002E3ED0">
              <w:rPr>
                <w:rFonts w:ascii="Times New Roman" w:hAnsi="Times New Roman" w:cs="Times New Roman"/>
                <w:sz w:val="24"/>
                <w:szCs w:val="24"/>
              </w:rPr>
              <w:lastRenderedPageBreak/>
              <w:t>satisfaction; Social presence effect higher for website users</w:t>
            </w:r>
          </w:p>
        </w:tc>
        <w:tc>
          <w:tcPr>
            <w:tcW w:w="2073" w:type="dxa"/>
            <w:hideMark/>
          </w:tcPr>
          <w:p w14:paraId="2FC46788"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lastRenderedPageBreak/>
              <w:t>Strengths:</w:t>
            </w:r>
            <w:r w:rsidRPr="002E3ED0">
              <w:rPr>
                <w:rFonts w:ascii="Times New Roman" w:hAnsi="Times New Roman" w:cs="Times New Roman"/>
                <w:sz w:val="24"/>
                <w:szCs w:val="24"/>
              </w:rPr>
              <w:t> Compares channels; PLS-MGA analysis.</w:t>
            </w:r>
          </w:p>
          <w:p w14:paraId="1CC4A726"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Brazil context; Cross-sectional</w:t>
            </w:r>
          </w:p>
        </w:tc>
        <w:tc>
          <w:tcPr>
            <w:tcW w:w="2790" w:type="dxa"/>
            <w:hideMark/>
          </w:tcPr>
          <w:p w14:paraId="3F4D0F02"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Highlights channel differences in digital banking experience; Informs understanding of user engagement; Useful for UK context comparison.</w:t>
            </w:r>
          </w:p>
        </w:tc>
      </w:tr>
      <w:tr w:rsidR="0025521E" w:rsidRPr="002E3ED0" w14:paraId="67E973C0" w14:textId="77777777" w:rsidTr="00255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1" w:type="dxa"/>
            <w:hideMark/>
          </w:tcPr>
          <w:p w14:paraId="29667544"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t>Hamakhan (2020)</w:t>
            </w:r>
          </w:p>
        </w:tc>
        <w:tc>
          <w:tcPr>
            <w:tcW w:w="1800" w:type="dxa"/>
            <w:hideMark/>
          </w:tcPr>
          <w:p w14:paraId="5AAD798F"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Investigate the effect of Individual Factors on User Behaviour and the moderating role of Trust based on UTAUT.</w:t>
            </w:r>
          </w:p>
        </w:tc>
        <w:tc>
          <w:tcPr>
            <w:tcW w:w="1980" w:type="dxa"/>
            <w:hideMark/>
          </w:tcPr>
          <w:p w14:paraId="4C1D4435"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PLS-SEM; Online questionnaire; N=476 academic staff in Kurdistan, Iraq</w:t>
            </w:r>
          </w:p>
        </w:tc>
        <w:tc>
          <w:tcPr>
            <w:tcW w:w="2081" w:type="dxa"/>
            <w:hideMark/>
          </w:tcPr>
          <w:p w14:paraId="19CE7641"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Individual Factors have a positive effect on User Behaviour; Trust moderates the relationship between Individual Factors and User Behaviour.</w:t>
            </w:r>
          </w:p>
        </w:tc>
        <w:tc>
          <w:tcPr>
            <w:tcW w:w="2073" w:type="dxa"/>
            <w:hideMark/>
          </w:tcPr>
          <w:p w14:paraId="209B5CA7"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Strengths:</w:t>
            </w:r>
            <w:r w:rsidRPr="002E3ED0">
              <w:rPr>
                <w:rFonts w:ascii="Times New Roman" w:hAnsi="Times New Roman" w:cs="Times New Roman"/>
                <w:sz w:val="24"/>
                <w:szCs w:val="24"/>
              </w:rPr>
              <w:t> Second-order component framework; Large sample.</w:t>
            </w:r>
          </w:p>
          <w:p w14:paraId="033E3FA0"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Regional focus; Academic staff only</w:t>
            </w:r>
          </w:p>
        </w:tc>
        <w:tc>
          <w:tcPr>
            <w:tcW w:w="2790" w:type="dxa"/>
            <w:hideMark/>
          </w:tcPr>
          <w:p w14:paraId="061B7F25"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Demonstrates trust's moderating role; Informs behavioural factor analysis; Useful for understanding trust mechanisms</w:t>
            </w:r>
          </w:p>
        </w:tc>
      </w:tr>
      <w:tr w:rsidR="0025521E" w:rsidRPr="002E3ED0" w14:paraId="67A52D19" w14:textId="77777777" w:rsidTr="0025521E">
        <w:tc>
          <w:tcPr>
            <w:cnfStyle w:val="001000000000" w:firstRow="0" w:lastRow="0" w:firstColumn="1" w:lastColumn="0" w:oddVBand="0" w:evenVBand="0" w:oddHBand="0" w:evenHBand="0" w:firstRowFirstColumn="0" w:firstRowLastColumn="0" w:lastRowFirstColumn="0" w:lastRowLastColumn="0"/>
            <w:tcW w:w="1171" w:type="dxa"/>
            <w:hideMark/>
          </w:tcPr>
          <w:p w14:paraId="020A7E43"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t>Himawan &amp; Indriani (2026)</w:t>
            </w:r>
          </w:p>
        </w:tc>
        <w:tc>
          <w:tcPr>
            <w:tcW w:w="1800" w:type="dxa"/>
            <w:hideMark/>
          </w:tcPr>
          <w:p w14:paraId="679A7BA5"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Review service quality, trust, and financial behaviour in digital banking</w:t>
            </w:r>
          </w:p>
        </w:tc>
        <w:tc>
          <w:tcPr>
            <w:tcW w:w="1980" w:type="dxa"/>
            <w:hideMark/>
          </w:tcPr>
          <w:p w14:paraId="2C8668B3"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Systematic Literature Review</w:t>
            </w:r>
          </w:p>
        </w:tc>
        <w:tc>
          <w:tcPr>
            <w:tcW w:w="2081" w:type="dxa"/>
            <w:hideMark/>
          </w:tcPr>
          <w:p w14:paraId="3B6B59E5"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Synthesises relationships between service quality, trust and financial behaviour in the digital banking context</w:t>
            </w:r>
          </w:p>
        </w:tc>
        <w:tc>
          <w:tcPr>
            <w:tcW w:w="2073" w:type="dxa"/>
            <w:hideMark/>
          </w:tcPr>
          <w:p w14:paraId="206468E1"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Strengths:</w:t>
            </w:r>
            <w:r w:rsidRPr="002E3ED0">
              <w:rPr>
                <w:rFonts w:ascii="Times New Roman" w:hAnsi="Times New Roman" w:cs="Times New Roman"/>
                <w:sz w:val="24"/>
                <w:szCs w:val="24"/>
              </w:rPr>
              <w:t> Comprehensive review.</w:t>
            </w:r>
          </w:p>
          <w:p w14:paraId="47184C8A"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Limited information available</w:t>
            </w:r>
          </w:p>
        </w:tc>
        <w:tc>
          <w:tcPr>
            <w:tcW w:w="2790" w:type="dxa"/>
            <w:hideMark/>
          </w:tcPr>
          <w:p w14:paraId="0A3D2AF2"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Useful for synthesising trust-service quality relationships; Informs theoretical framework.</w:t>
            </w:r>
          </w:p>
        </w:tc>
      </w:tr>
      <w:tr w:rsidR="0025521E" w:rsidRPr="002E3ED0" w14:paraId="79A10578" w14:textId="77777777" w:rsidTr="00255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1" w:type="dxa"/>
            <w:hideMark/>
          </w:tcPr>
          <w:p w14:paraId="46C01836"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t>Islam et al. (2020)</w:t>
            </w:r>
          </w:p>
        </w:tc>
        <w:tc>
          <w:tcPr>
            <w:tcW w:w="1800" w:type="dxa"/>
            <w:hideMark/>
          </w:tcPr>
          <w:p w14:paraId="526D9A52"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Investigate how banking websites activate customer engagement to enhance trust and retention using S-O-R theory.</w:t>
            </w:r>
          </w:p>
        </w:tc>
        <w:tc>
          <w:tcPr>
            <w:tcW w:w="1980" w:type="dxa"/>
            <w:hideMark/>
          </w:tcPr>
          <w:p w14:paraId="51C6194C"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SEM; Online survey; N=598 customers in India</w:t>
            </w:r>
          </w:p>
        </w:tc>
        <w:tc>
          <w:tcPr>
            <w:tcW w:w="2081" w:type="dxa"/>
            <w:hideMark/>
          </w:tcPr>
          <w:p w14:paraId="37C56CD3"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Website interactivity, aesthetics, customisation, ease of use, and telepresence positively affect CE; Positive associations between CE, trust, and retention</w:t>
            </w:r>
          </w:p>
        </w:tc>
        <w:tc>
          <w:tcPr>
            <w:tcW w:w="2073" w:type="dxa"/>
            <w:hideMark/>
          </w:tcPr>
          <w:p w14:paraId="2BECA9EE"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Strengthens:</w:t>
            </w:r>
            <w:r w:rsidRPr="002E3ED0">
              <w:rPr>
                <w:rFonts w:ascii="Times New Roman" w:hAnsi="Times New Roman" w:cs="Times New Roman"/>
                <w:sz w:val="24"/>
                <w:szCs w:val="24"/>
              </w:rPr>
              <w:t> S-O-R framework application; Large sample.</w:t>
            </w:r>
          </w:p>
          <w:p w14:paraId="313FC9AE"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India-specific; Website focus only</w:t>
            </w:r>
          </w:p>
        </w:tc>
        <w:tc>
          <w:tcPr>
            <w:tcW w:w="2790" w:type="dxa"/>
            <w:hideMark/>
          </w:tcPr>
          <w:p w14:paraId="7728F738"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Demonstrates website attributes-trust relationships; Informs technological factor analysis; S-O-R framework relevant</w:t>
            </w:r>
          </w:p>
        </w:tc>
      </w:tr>
      <w:tr w:rsidR="0025521E" w:rsidRPr="002E3ED0" w14:paraId="7285C6E7" w14:textId="77777777" w:rsidTr="0025521E">
        <w:tc>
          <w:tcPr>
            <w:cnfStyle w:val="001000000000" w:firstRow="0" w:lastRow="0" w:firstColumn="1" w:lastColumn="0" w:oddVBand="0" w:evenVBand="0" w:oddHBand="0" w:evenHBand="0" w:firstRowFirstColumn="0" w:firstRowLastColumn="0" w:lastRowFirstColumn="0" w:lastRowLastColumn="0"/>
            <w:tcW w:w="1171" w:type="dxa"/>
            <w:hideMark/>
          </w:tcPr>
          <w:p w14:paraId="315BBC9D"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lastRenderedPageBreak/>
              <w:t>Jafri et al. (2024)</w:t>
            </w:r>
          </w:p>
        </w:tc>
        <w:tc>
          <w:tcPr>
            <w:tcW w:w="1800" w:type="dxa"/>
            <w:hideMark/>
          </w:tcPr>
          <w:p w14:paraId="275F9BCB"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Synthesises previous Fintech literature on behavioural intentions emphasising trust, security, and other factors</w:t>
            </w:r>
          </w:p>
        </w:tc>
        <w:tc>
          <w:tcPr>
            <w:tcW w:w="1980" w:type="dxa"/>
            <w:hideMark/>
          </w:tcPr>
          <w:p w14:paraId="19E87C89"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Systematic Literature Review; ROSES framework; 26 articles from Scopus and WoS (2009-2022)</w:t>
            </w:r>
          </w:p>
        </w:tc>
        <w:tc>
          <w:tcPr>
            <w:tcW w:w="2081" w:type="dxa"/>
            <w:hideMark/>
          </w:tcPr>
          <w:p w14:paraId="06FE59AE"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Five primary themes: UTAUT2 variables, risk, trust, quality, other; Best predictors: performance expectancy, trust, security, perceived usefulness, attitude; TCCM framework recommendations</w:t>
            </w:r>
          </w:p>
        </w:tc>
        <w:tc>
          <w:tcPr>
            <w:tcW w:w="2073" w:type="dxa"/>
            <w:hideMark/>
          </w:tcPr>
          <w:p w14:paraId="66C32DBE"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Strengths:</w:t>
            </w:r>
            <w:r w:rsidRPr="002E3ED0">
              <w:rPr>
                <w:rFonts w:ascii="Times New Roman" w:hAnsi="Times New Roman" w:cs="Times New Roman"/>
                <w:sz w:val="24"/>
                <w:szCs w:val="24"/>
              </w:rPr>
              <w:t> Rigorous systematic approach; Thematic analysis; Weight analysis.</w:t>
            </w:r>
          </w:p>
          <w:p w14:paraId="68BEC171"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Limited to two databases; 2009-2022 coverage</w:t>
            </w:r>
          </w:p>
        </w:tc>
        <w:tc>
          <w:tcPr>
            <w:tcW w:w="2790" w:type="dxa"/>
            <w:hideMark/>
          </w:tcPr>
          <w:p w14:paraId="790FE9B5"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Comprehensive synthesis of trust-security factors; Informs theoretical framework; Identifies research gaps; Highly relevant to objectives</w:t>
            </w:r>
          </w:p>
        </w:tc>
      </w:tr>
      <w:tr w:rsidR="0025521E" w:rsidRPr="002E3ED0" w14:paraId="21438391" w14:textId="77777777" w:rsidTr="00255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1" w:type="dxa"/>
            <w:hideMark/>
          </w:tcPr>
          <w:p w14:paraId="112C7964"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t>Kaabachi et al. (2019)</w:t>
            </w:r>
          </w:p>
        </w:tc>
        <w:tc>
          <w:tcPr>
            <w:tcW w:w="1800" w:type="dxa"/>
            <w:hideMark/>
          </w:tcPr>
          <w:p w14:paraId="7239B356"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Demonstrate how e-bank structure influences consumers' evaluation of website quality and identify website features influencing trust and loyalty.</w:t>
            </w:r>
          </w:p>
        </w:tc>
        <w:tc>
          <w:tcPr>
            <w:tcW w:w="1980" w:type="dxa"/>
            <w:hideMark/>
          </w:tcPr>
          <w:p w14:paraId="2AA1EB6C"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SEM; Multi-group analysis; N=476 (248 click-and-mortar, 230 internet-only)</w:t>
            </w:r>
          </w:p>
        </w:tc>
        <w:tc>
          <w:tcPr>
            <w:tcW w:w="2081" w:type="dxa"/>
            <w:hideMark/>
          </w:tcPr>
          <w:p w14:paraId="20D14768"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Click-and-mortar users have more trust and loyalty; Website features evaluated differently by structure; Information design and interactivity important for internet-only banks; Personalisation important for click-and-mortar</w:t>
            </w:r>
          </w:p>
        </w:tc>
        <w:tc>
          <w:tcPr>
            <w:tcW w:w="2073" w:type="dxa"/>
            <w:hideMark/>
          </w:tcPr>
          <w:p w14:paraId="17AD2AF7"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Strengths:</w:t>
            </w:r>
            <w:r w:rsidRPr="002E3ED0">
              <w:rPr>
                <w:rFonts w:ascii="Times New Roman" w:hAnsi="Times New Roman" w:cs="Times New Roman"/>
                <w:sz w:val="24"/>
                <w:szCs w:val="24"/>
              </w:rPr>
              <w:t> Compares bank structures; Multi-group analysis </w:t>
            </w: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Pre-2020; France-specific</w:t>
            </w:r>
          </w:p>
        </w:tc>
        <w:tc>
          <w:tcPr>
            <w:tcW w:w="2790" w:type="dxa"/>
            <w:hideMark/>
          </w:tcPr>
          <w:p w14:paraId="6955F276"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Highlights importance of bank structure; Informs institutional factors; Useful for understanding digital-only vs traditional bank differences</w:t>
            </w:r>
          </w:p>
        </w:tc>
      </w:tr>
      <w:tr w:rsidR="0025521E" w:rsidRPr="002E3ED0" w14:paraId="35256CF4" w14:textId="77777777" w:rsidTr="0025521E">
        <w:tc>
          <w:tcPr>
            <w:cnfStyle w:val="001000000000" w:firstRow="0" w:lastRow="0" w:firstColumn="1" w:lastColumn="0" w:oddVBand="0" w:evenVBand="0" w:oddHBand="0" w:evenHBand="0" w:firstRowFirstColumn="0" w:firstRowLastColumn="0" w:lastRowFirstColumn="0" w:lastRowLastColumn="0"/>
            <w:tcW w:w="1171" w:type="dxa"/>
            <w:hideMark/>
          </w:tcPr>
          <w:p w14:paraId="361B1E54"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t>Kang &amp; Shin (2026)</w:t>
            </w:r>
          </w:p>
        </w:tc>
        <w:tc>
          <w:tcPr>
            <w:tcW w:w="1800" w:type="dxa"/>
            <w:hideMark/>
          </w:tcPr>
          <w:p w14:paraId="49674F63"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 xml:space="preserve">Examine socio-technical and operational </w:t>
            </w:r>
            <w:r w:rsidRPr="002E3ED0">
              <w:rPr>
                <w:rFonts w:ascii="Times New Roman" w:hAnsi="Times New Roman" w:cs="Times New Roman"/>
                <w:sz w:val="24"/>
                <w:szCs w:val="24"/>
              </w:rPr>
              <w:lastRenderedPageBreak/>
              <w:t>aspects in gaining users' trust in diversified banking settings.</w:t>
            </w:r>
          </w:p>
        </w:tc>
        <w:tc>
          <w:tcPr>
            <w:tcW w:w="1980" w:type="dxa"/>
            <w:hideMark/>
          </w:tcPr>
          <w:p w14:paraId="1B5D5EC3"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lastRenderedPageBreak/>
              <w:t xml:space="preserve">Quantitative; SEM; N=749 </w:t>
            </w:r>
            <w:r w:rsidRPr="002E3ED0">
              <w:rPr>
                <w:rFonts w:ascii="Times New Roman" w:hAnsi="Times New Roman" w:cs="Times New Roman"/>
                <w:sz w:val="24"/>
                <w:szCs w:val="24"/>
              </w:rPr>
              <w:lastRenderedPageBreak/>
              <w:t>users; Multi-group analysis</w:t>
            </w:r>
          </w:p>
        </w:tc>
        <w:tc>
          <w:tcPr>
            <w:tcW w:w="2081" w:type="dxa"/>
            <w:hideMark/>
          </w:tcPr>
          <w:p w14:paraId="6809117D"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lastRenderedPageBreak/>
              <w:t xml:space="preserve">System security awareness, system-service </w:t>
            </w:r>
            <w:r w:rsidRPr="002E3ED0">
              <w:rPr>
                <w:rFonts w:ascii="Times New Roman" w:hAnsi="Times New Roman" w:cs="Times New Roman"/>
                <w:sz w:val="24"/>
                <w:szCs w:val="24"/>
              </w:rPr>
              <w:lastRenderedPageBreak/>
              <w:t>interoperability, and service impression positively impact users' assessments and trust; Both increase recommendation likelihood; Experiences differ across bank types</w:t>
            </w:r>
          </w:p>
        </w:tc>
        <w:tc>
          <w:tcPr>
            <w:tcW w:w="2073" w:type="dxa"/>
            <w:hideMark/>
          </w:tcPr>
          <w:p w14:paraId="3EF0E085"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lastRenderedPageBreak/>
              <w:t>Strengths:</w:t>
            </w:r>
            <w:r w:rsidRPr="002E3ED0">
              <w:rPr>
                <w:rFonts w:ascii="Times New Roman" w:hAnsi="Times New Roman" w:cs="Times New Roman"/>
                <w:sz w:val="24"/>
                <w:szCs w:val="24"/>
              </w:rPr>
              <w:t xml:space="preserve"> Socio-technical framework; Large </w:t>
            </w:r>
            <w:r w:rsidRPr="002E3ED0">
              <w:rPr>
                <w:rFonts w:ascii="Times New Roman" w:hAnsi="Times New Roman" w:cs="Times New Roman"/>
                <w:sz w:val="24"/>
                <w:szCs w:val="24"/>
              </w:rPr>
              <w:lastRenderedPageBreak/>
              <w:t>sample; Multi-group analysis </w:t>
            </w: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Not UK-specific</w:t>
            </w:r>
          </w:p>
        </w:tc>
        <w:tc>
          <w:tcPr>
            <w:tcW w:w="2790" w:type="dxa"/>
            <w:hideMark/>
          </w:tcPr>
          <w:p w14:paraId="39E22EAD"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lastRenderedPageBreak/>
              <w:t xml:space="preserve">Highly relevant: Socio-technical perspective; Addresses security and </w:t>
            </w:r>
            <w:r w:rsidRPr="002E3ED0">
              <w:rPr>
                <w:rFonts w:ascii="Times New Roman" w:hAnsi="Times New Roman" w:cs="Times New Roman"/>
                <w:sz w:val="24"/>
                <w:szCs w:val="24"/>
              </w:rPr>
              <w:lastRenderedPageBreak/>
              <w:t>interoperability; Compares bank types; Informs theoretical framework</w:t>
            </w:r>
          </w:p>
        </w:tc>
      </w:tr>
      <w:tr w:rsidR="0025521E" w:rsidRPr="002E3ED0" w14:paraId="1FCF8925" w14:textId="77777777" w:rsidTr="00255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1" w:type="dxa"/>
            <w:hideMark/>
          </w:tcPr>
          <w:p w14:paraId="77D198C4"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lastRenderedPageBreak/>
              <w:t>Kaur et al. (2020)</w:t>
            </w:r>
          </w:p>
        </w:tc>
        <w:tc>
          <w:tcPr>
            <w:tcW w:w="1800" w:type="dxa"/>
            <w:hideMark/>
          </w:tcPr>
          <w:p w14:paraId="3EDE8606"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Examine intentions to use and recommend m-wallets based on Diffusion of Innovation theory.</w:t>
            </w:r>
          </w:p>
        </w:tc>
        <w:tc>
          <w:tcPr>
            <w:tcW w:w="1980" w:type="dxa"/>
            <w:hideMark/>
          </w:tcPr>
          <w:p w14:paraId="79C86087"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Cross-sectional survey; N=1256 smartphone users</w:t>
            </w:r>
          </w:p>
        </w:tc>
        <w:tc>
          <w:tcPr>
            <w:tcW w:w="2081" w:type="dxa"/>
            <w:hideMark/>
          </w:tcPr>
          <w:p w14:paraId="172C1EC5"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Relative advantage, compatibility, complexity, and observability were significantly associated with intentions; Trialability had no association</w:t>
            </w:r>
          </w:p>
        </w:tc>
        <w:tc>
          <w:tcPr>
            <w:tcW w:w="2073" w:type="dxa"/>
            <w:hideMark/>
          </w:tcPr>
          <w:p w14:paraId="12A52BA2"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Strengths:</w:t>
            </w:r>
            <w:r w:rsidRPr="002E3ED0">
              <w:rPr>
                <w:rFonts w:ascii="Times New Roman" w:hAnsi="Times New Roman" w:cs="Times New Roman"/>
                <w:sz w:val="24"/>
                <w:szCs w:val="24"/>
              </w:rPr>
              <w:t xml:space="preserve"> Large sample; DOI theory application. </w:t>
            </w: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M-wallet focus; Not banking-specific</w:t>
            </w:r>
          </w:p>
        </w:tc>
        <w:tc>
          <w:tcPr>
            <w:tcW w:w="2790" w:type="dxa"/>
            <w:hideMark/>
          </w:tcPr>
          <w:p w14:paraId="6587A4F0"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Informs understanding of innovation adoption; Useful for technological factor analysis</w:t>
            </w:r>
          </w:p>
        </w:tc>
      </w:tr>
      <w:tr w:rsidR="0025521E" w:rsidRPr="002E3ED0" w14:paraId="72C50C48" w14:textId="77777777" w:rsidTr="0025521E">
        <w:tc>
          <w:tcPr>
            <w:cnfStyle w:val="001000000000" w:firstRow="0" w:lastRow="0" w:firstColumn="1" w:lastColumn="0" w:oddVBand="0" w:evenVBand="0" w:oddHBand="0" w:evenHBand="0" w:firstRowFirstColumn="0" w:firstRowLastColumn="0" w:lastRowFirstColumn="0" w:lastRowLastColumn="0"/>
            <w:tcW w:w="1171" w:type="dxa"/>
            <w:hideMark/>
          </w:tcPr>
          <w:p w14:paraId="77CD10E0"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t>Kavabilla &amp; Wahyudi (2025)</w:t>
            </w:r>
          </w:p>
        </w:tc>
        <w:tc>
          <w:tcPr>
            <w:tcW w:w="1800" w:type="dxa"/>
            <w:hideMark/>
          </w:tcPr>
          <w:p w14:paraId="110D69AC"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Systematic review on digital-only banking adoption emphasising consumer trust and behavioural patterns</w:t>
            </w:r>
          </w:p>
        </w:tc>
        <w:tc>
          <w:tcPr>
            <w:tcW w:w="1980" w:type="dxa"/>
            <w:hideMark/>
          </w:tcPr>
          <w:p w14:paraId="4A9BAE8B"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Systematic Literature Review</w:t>
            </w:r>
          </w:p>
        </w:tc>
        <w:tc>
          <w:tcPr>
            <w:tcW w:w="2081" w:type="dxa"/>
            <w:hideMark/>
          </w:tcPr>
          <w:p w14:paraId="5183FA23"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 xml:space="preserve">Trust as central determinant shaping engagement and spending behaviours; Other factors: perceived ease of use, security, service personalisation, </w:t>
            </w:r>
            <w:r w:rsidRPr="002E3ED0">
              <w:rPr>
                <w:rFonts w:ascii="Times New Roman" w:hAnsi="Times New Roman" w:cs="Times New Roman"/>
                <w:sz w:val="24"/>
                <w:szCs w:val="24"/>
              </w:rPr>
              <w:lastRenderedPageBreak/>
              <w:t>technological innovations</w:t>
            </w:r>
          </w:p>
        </w:tc>
        <w:tc>
          <w:tcPr>
            <w:tcW w:w="2073" w:type="dxa"/>
            <w:hideMark/>
          </w:tcPr>
          <w:p w14:paraId="4F200348"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lastRenderedPageBreak/>
              <w:t>Strengths:</w:t>
            </w:r>
            <w:r w:rsidRPr="002E3ED0">
              <w:rPr>
                <w:rFonts w:ascii="Times New Roman" w:hAnsi="Times New Roman" w:cs="Times New Roman"/>
                <w:sz w:val="24"/>
                <w:szCs w:val="24"/>
              </w:rPr>
              <w:t> Focus on digital-only banking; Identifies emerging trends </w:t>
            </w: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Not UK-specific</w:t>
            </w:r>
          </w:p>
        </w:tc>
        <w:tc>
          <w:tcPr>
            <w:tcW w:w="2790" w:type="dxa"/>
            <w:hideMark/>
          </w:tcPr>
          <w:p w14:paraId="1A2AB095"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Directly relevant: Focuses on trust in digital-only banking; Informs understanding of behavioural patterns</w:t>
            </w:r>
          </w:p>
        </w:tc>
      </w:tr>
      <w:tr w:rsidR="0025521E" w:rsidRPr="002E3ED0" w14:paraId="2AB446C9" w14:textId="77777777" w:rsidTr="00255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1" w:type="dxa"/>
            <w:hideMark/>
          </w:tcPr>
          <w:p w14:paraId="0C75234A"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t>Khan et al. (2025)</w:t>
            </w:r>
          </w:p>
        </w:tc>
        <w:tc>
          <w:tcPr>
            <w:tcW w:w="1800" w:type="dxa"/>
            <w:hideMark/>
          </w:tcPr>
          <w:p w14:paraId="04D78E8D"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Investigate impact of perceived risk factors on willingness to use CBDC, directly and indirectly through hard and soft trust.</w:t>
            </w:r>
          </w:p>
        </w:tc>
        <w:tc>
          <w:tcPr>
            <w:tcW w:w="1980" w:type="dxa"/>
            <w:hideMark/>
          </w:tcPr>
          <w:p w14:paraId="5C846155"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PLS-SEM; N=491 participants in China</w:t>
            </w:r>
          </w:p>
        </w:tc>
        <w:tc>
          <w:tcPr>
            <w:tcW w:w="2081" w:type="dxa"/>
            <w:hideMark/>
          </w:tcPr>
          <w:p w14:paraId="5D96D6DD"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Financial risk, operational risk, privacy concerns, and security risk significantly and negatively affect WCBDC, HT and ST; HT and ST serve as partial mediators; HT exerts a stronger effect than ST</w:t>
            </w:r>
          </w:p>
        </w:tc>
        <w:tc>
          <w:tcPr>
            <w:tcW w:w="2073" w:type="dxa"/>
            <w:hideMark/>
          </w:tcPr>
          <w:p w14:paraId="7EBDC615"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Strengths:</w:t>
            </w:r>
            <w:r w:rsidRPr="002E3ED0">
              <w:rPr>
                <w:rFonts w:ascii="Times New Roman" w:hAnsi="Times New Roman" w:cs="Times New Roman"/>
                <w:sz w:val="24"/>
                <w:szCs w:val="24"/>
              </w:rPr>
              <w:t> Distinguishes hard and soft trust; Mediation analysis </w:t>
            </w: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China-specific; CBDC context</w:t>
            </w:r>
          </w:p>
        </w:tc>
        <w:tc>
          <w:tcPr>
            <w:tcW w:w="2790" w:type="dxa"/>
            <w:hideMark/>
          </w:tcPr>
          <w:p w14:paraId="5164FFC0"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Introduces hard/soft trust distinction; Informs trust conceptualisation; Useful for understanding trust mechanisms</w:t>
            </w:r>
          </w:p>
        </w:tc>
      </w:tr>
      <w:tr w:rsidR="0025521E" w:rsidRPr="002E3ED0" w14:paraId="6134107C" w14:textId="77777777" w:rsidTr="0025521E">
        <w:tc>
          <w:tcPr>
            <w:cnfStyle w:val="001000000000" w:firstRow="0" w:lastRow="0" w:firstColumn="1" w:lastColumn="0" w:oddVBand="0" w:evenVBand="0" w:oddHBand="0" w:evenHBand="0" w:firstRowFirstColumn="0" w:firstRowLastColumn="0" w:lastRowFirstColumn="0" w:lastRowLastColumn="0"/>
            <w:tcW w:w="1171" w:type="dxa"/>
            <w:hideMark/>
          </w:tcPr>
          <w:p w14:paraId="610C6549"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t>Kumar et al. (2023)</w:t>
            </w:r>
          </w:p>
        </w:tc>
        <w:tc>
          <w:tcPr>
            <w:tcW w:w="1800" w:type="dxa"/>
            <w:hideMark/>
          </w:tcPr>
          <w:p w14:paraId="33967A50"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Assess relationship of trust in m-banking with technology acceptance, quality, risk and personal factors; Investigate cultural moderation.</w:t>
            </w:r>
          </w:p>
        </w:tc>
        <w:tc>
          <w:tcPr>
            <w:tcW w:w="1980" w:type="dxa"/>
            <w:hideMark/>
          </w:tcPr>
          <w:p w14:paraId="2EDF0BE8"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Meta-analysis; 63 quantitative studies</w:t>
            </w:r>
          </w:p>
        </w:tc>
        <w:tc>
          <w:tcPr>
            <w:tcW w:w="2081" w:type="dxa"/>
            <w:hideMark/>
          </w:tcPr>
          <w:p w14:paraId="3DD889A4"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Significant relationship of trust with technology acceptance/use factors, quality factors, risk factors, personal factors, behavioural outcomes; Cultural dimensions moderate most relationships</w:t>
            </w:r>
          </w:p>
        </w:tc>
        <w:tc>
          <w:tcPr>
            <w:tcW w:w="2073" w:type="dxa"/>
            <w:hideMark/>
          </w:tcPr>
          <w:p w14:paraId="3725218F"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Strengths:</w:t>
            </w:r>
            <w:r w:rsidRPr="002E3ED0">
              <w:rPr>
                <w:rFonts w:ascii="Times New Roman" w:hAnsi="Times New Roman" w:cs="Times New Roman"/>
                <w:sz w:val="24"/>
                <w:szCs w:val="24"/>
              </w:rPr>
              <w:t> Robust meta-analytic approach; Comprehensive synthesis; Cultural analysis </w:t>
            </w: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M-banking focus; Limited to quantitative studies</w:t>
            </w:r>
          </w:p>
        </w:tc>
        <w:tc>
          <w:tcPr>
            <w:tcW w:w="2790" w:type="dxa"/>
            <w:hideMark/>
          </w:tcPr>
          <w:p w14:paraId="268541A5"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Comprehensive synthesis of trust antecedents; Informs theoretical framework; Cultural moderation insights; Highly relevant to objectives.</w:t>
            </w:r>
          </w:p>
        </w:tc>
      </w:tr>
      <w:tr w:rsidR="0025521E" w:rsidRPr="002E3ED0" w14:paraId="7AE1C3F4" w14:textId="77777777" w:rsidTr="00255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1" w:type="dxa"/>
            <w:hideMark/>
          </w:tcPr>
          <w:p w14:paraId="25695212"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t>Ladeira et al. (2025)</w:t>
            </w:r>
          </w:p>
        </w:tc>
        <w:tc>
          <w:tcPr>
            <w:tcW w:w="1800" w:type="dxa"/>
            <w:hideMark/>
          </w:tcPr>
          <w:p w14:paraId="547E3B07"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 xml:space="preserve">Examine effects of risk perception and </w:t>
            </w:r>
            <w:r w:rsidRPr="002E3ED0">
              <w:rPr>
                <w:rFonts w:ascii="Times New Roman" w:hAnsi="Times New Roman" w:cs="Times New Roman"/>
                <w:sz w:val="24"/>
                <w:szCs w:val="24"/>
              </w:rPr>
              <w:lastRenderedPageBreak/>
              <w:t>trust on technological adoption of financial services.</w:t>
            </w:r>
          </w:p>
        </w:tc>
        <w:tc>
          <w:tcPr>
            <w:tcW w:w="1980" w:type="dxa"/>
            <w:hideMark/>
          </w:tcPr>
          <w:p w14:paraId="09AB681E"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lastRenderedPageBreak/>
              <w:t xml:space="preserve">Meta-analysis; 55 studies; 2,104 effect sizes; </w:t>
            </w:r>
            <w:r w:rsidRPr="002E3ED0">
              <w:rPr>
                <w:rFonts w:ascii="Times New Roman" w:hAnsi="Times New Roman" w:cs="Times New Roman"/>
                <w:sz w:val="24"/>
                <w:szCs w:val="24"/>
              </w:rPr>
              <w:lastRenderedPageBreak/>
              <w:t>Random-effects model; HiLMA</w:t>
            </w:r>
          </w:p>
        </w:tc>
        <w:tc>
          <w:tcPr>
            <w:tcW w:w="2081" w:type="dxa"/>
            <w:hideMark/>
          </w:tcPr>
          <w:p w14:paraId="0FC601F2"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lastRenderedPageBreak/>
              <w:t xml:space="preserve">Risk perception negatively influences </w:t>
            </w:r>
            <w:r w:rsidRPr="002E3ED0">
              <w:rPr>
                <w:rFonts w:ascii="Times New Roman" w:hAnsi="Times New Roman" w:cs="Times New Roman"/>
                <w:sz w:val="24"/>
                <w:szCs w:val="24"/>
              </w:rPr>
              <w:lastRenderedPageBreak/>
              <w:t>adoption; Economic performance, business efficiency, and globalisation amplify effects; Age and education moderate risk perception; Trust positively affects adoption</w:t>
            </w:r>
          </w:p>
        </w:tc>
        <w:tc>
          <w:tcPr>
            <w:tcW w:w="2073" w:type="dxa"/>
            <w:hideMark/>
          </w:tcPr>
          <w:p w14:paraId="3A45597C"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lastRenderedPageBreak/>
              <w:t>Strengths:</w:t>
            </w:r>
            <w:r w:rsidRPr="002E3ED0">
              <w:rPr>
                <w:rFonts w:ascii="Times New Roman" w:hAnsi="Times New Roman" w:cs="Times New Roman"/>
                <w:sz w:val="24"/>
                <w:szCs w:val="24"/>
              </w:rPr>
              <w:t xml:space="preserve"> Large meta-analysis; HiLMA approach; </w:t>
            </w:r>
            <w:r w:rsidRPr="002E3ED0">
              <w:rPr>
                <w:rFonts w:ascii="Times New Roman" w:hAnsi="Times New Roman" w:cs="Times New Roman"/>
                <w:sz w:val="24"/>
                <w:szCs w:val="24"/>
              </w:rPr>
              <w:lastRenderedPageBreak/>
              <w:t xml:space="preserve">Multiple moderators. </w:t>
            </w: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Broad financial services focus</w:t>
            </w:r>
          </w:p>
        </w:tc>
        <w:tc>
          <w:tcPr>
            <w:tcW w:w="2790" w:type="dxa"/>
            <w:hideMark/>
          </w:tcPr>
          <w:p w14:paraId="1186C935" w14:textId="77777777" w:rsidR="0025521E" w:rsidRPr="002E3ED0" w:rsidRDefault="0025521E" w:rsidP="00875014">
            <w:pPr>
              <w:spacing w:line="360" w:lineRule="auto"/>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lastRenderedPageBreak/>
              <w:t xml:space="preserve">Comprehensive synthesis of risk-trust-adoption relationships; </w:t>
            </w:r>
            <w:r w:rsidRPr="002E3ED0">
              <w:rPr>
                <w:rFonts w:ascii="Times New Roman" w:hAnsi="Times New Roman" w:cs="Times New Roman"/>
                <w:sz w:val="24"/>
                <w:szCs w:val="24"/>
              </w:rPr>
              <w:lastRenderedPageBreak/>
              <w:t>Informs understanding of demographic moderators; Highly relevant</w:t>
            </w:r>
          </w:p>
        </w:tc>
      </w:tr>
      <w:tr w:rsidR="0025521E" w:rsidRPr="002E3ED0" w14:paraId="085ADA3E" w14:textId="77777777" w:rsidTr="0025521E">
        <w:tc>
          <w:tcPr>
            <w:cnfStyle w:val="001000000000" w:firstRow="0" w:lastRow="0" w:firstColumn="1" w:lastColumn="0" w:oddVBand="0" w:evenVBand="0" w:oddHBand="0" w:evenHBand="0" w:firstRowFirstColumn="0" w:firstRowLastColumn="0" w:lastRowFirstColumn="0" w:lastRowLastColumn="0"/>
            <w:tcW w:w="1171" w:type="dxa"/>
            <w:hideMark/>
          </w:tcPr>
          <w:p w14:paraId="42274F57"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lastRenderedPageBreak/>
              <w:t>Le et al. (2023)</w:t>
            </w:r>
          </w:p>
        </w:tc>
        <w:tc>
          <w:tcPr>
            <w:tcW w:w="1800" w:type="dxa"/>
            <w:hideMark/>
          </w:tcPr>
          <w:p w14:paraId="791BA56D"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Examine impacts of gender, education, age on consumer perception of digital banking service quality in Vietnam.</w:t>
            </w:r>
          </w:p>
        </w:tc>
        <w:tc>
          <w:tcPr>
            <w:tcW w:w="1980" w:type="dxa"/>
            <w:hideMark/>
          </w:tcPr>
          <w:p w14:paraId="34A64B39"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T-test, Cronbach Alpha, ANOVA; N=200 customers</w:t>
            </w:r>
          </w:p>
        </w:tc>
        <w:tc>
          <w:tcPr>
            <w:tcW w:w="2081" w:type="dxa"/>
            <w:hideMark/>
          </w:tcPr>
          <w:p w14:paraId="6AA090A9"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Consumers' perception differs by gender and age; No clear correlation between education and perception of security, convenience, promotion</w:t>
            </w:r>
          </w:p>
        </w:tc>
        <w:tc>
          <w:tcPr>
            <w:tcW w:w="2073" w:type="dxa"/>
            <w:hideMark/>
          </w:tcPr>
          <w:p w14:paraId="2CDAA41F"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Strengths:</w:t>
            </w:r>
            <w:r w:rsidRPr="002E3ED0">
              <w:rPr>
                <w:rFonts w:ascii="Times New Roman" w:hAnsi="Times New Roman" w:cs="Times New Roman"/>
                <w:sz w:val="24"/>
                <w:szCs w:val="24"/>
              </w:rPr>
              <w:t> Demographic analysis; Practical implications </w:t>
            </w: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Vietnam-specific; Small sample; Single bank branch</w:t>
            </w:r>
          </w:p>
        </w:tc>
        <w:tc>
          <w:tcPr>
            <w:tcW w:w="2790" w:type="dxa"/>
            <w:hideMark/>
          </w:tcPr>
          <w:p w14:paraId="5AD71559" w14:textId="77777777" w:rsidR="0025521E" w:rsidRPr="002E3ED0" w:rsidRDefault="0025521E" w:rsidP="00875014">
            <w:pPr>
              <w:spacing w:line="360" w:lineRule="auto"/>
              <w:ind w:left="3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Informs demographic factor analysis; Highlights importance of security perception; Useful for UK comparison</w:t>
            </w:r>
          </w:p>
        </w:tc>
      </w:tr>
      <w:tr w:rsidR="0025521E" w:rsidRPr="002E3ED0" w14:paraId="1DEE3FAD" w14:textId="77777777" w:rsidTr="00255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1" w:type="dxa"/>
            <w:hideMark/>
          </w:tcPr>
          <w:p w14:paraId="20732703"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t>Lee &amp; Kim (2020)</w:t>
            </w:r>
          </w:p>
        </w:tc>
        <w:tc>
          <w:tcPr>
            <w:tcW w:w="1800" w:type="dxa"/>
            <w:hideMark/>
          </w:tcPr>
          <w:p w14:paraId="7CAC5130"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 xml:space="preserve">Investigate determinants of adoption and continuance intentions toward Internet-only banks based on benefit-risk </w:t>
            </w:r>
            <w:r w:rsidRPr="002E3ED0">
              <w:rPr>
                <w:rFonts w:ascii="Times New Roman" w:hAnsi="Times New Roman" w:cs="Times New Roman"/>
                <w:sz w:val="24"/>
                <w:szCs w:val="24"/>
              </w:rPr>
              <w:lastRenderedPageBreak/>
              <w:t>framework and network externality theory.</w:t>
            </w:r>
          </w:p>
        </w:tc>
        <w:tc>
          <w:tcPr>
            <w:tcW w:w="1980" w:type="dxa"/>
            <w:hideMark/>
          </w:tcPr>
          <w:p w14:paraId="79B399FE"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lastRenderedPageBreak/>
              <w:t>Quantitative; Online survey; N=672 (321 non-adopters, 351 existing users)</w:t>
            </w:r>
          </w:p>
        </w:tc>
        <w:tc>
          <w:tcPr>
            <w:tcW w:w="2081" w:type="dxa"/>
            <w:hideMark/>
          </w:tcPr>
          <w:p w14:paraId="7A279357"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Number of services and trust positively impact behavioural intentions; Security risks negatively impact; Critical mass important for pre-</w:t>
            </w:r>
            <w:r w:rsidRPr="002E3ED0">
              <w:rPr>
                <w:rFonts w:ascii="Times New Roman" w:hAnsi="Times New Roman" w:cs="Times New Roman"/>
                <w:sz w:val="24"/>
                <w:szCs w:val="24"/>
              </w:rPr>
              <w:lastRenderedPageBreak/>
              <w:t>adoption; Convenience/economic efficiency important for post-adoption</w:t>
            </w:r>
          </w:p>
        </w:tc>
        <w:tc>
          <w:tcPr>
            <w:tcW w:w="2073" w:type="dxa"/>
            <w:hideMark/>
          </w:tcPr>
          <w:p w14:paraId="5B4C6A5D"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lastRenderedPageBreak/>
              <w:t>Strengths:</w:t>
            </w:r>
            <w:r w:rsidRPr="002E3ED0">
              <w:rPr>
                <w:rFonts w:ascii="Times New Roman" w:hAnsi="Times New Roman" w:cs="Times New Roman"/>
                <w:sz w:val="24"/>
                <w:szCs w:val="24"/>
              </w:rPr>
              <w:t> Compares pre/post adoption; Two subgroups; Benefit-risk framework </w:t>
            </w: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xml:space="preserve"> South Korea-specific; </w:t>
            </w:r>
            <w:r w:rsidRPr="002E3ED0">
              <w:rPr>
                <w:rFonts w:ascii="Times New Roman" w:hAnsi="Times New Roman" w:cs="Times New Roman"/>
                <w:sz w:val="24"/>
                <w:szCs w:val="24"/>
              </w:rPr>
              <w:lastRenderedPageBreak/>
              <w:t>Internet-only banks</w:t>
            </w:r>
          </w:p>
        </w:tc>
        <w:tc>
          <w:tcPr>
            <w:tcW w:w="2790" w:type="dxa"/>
            <w:hideMark/>
          </w:tcPr>
          <w:p w14:paraId="1D995212" w14:textId="77777777" w:rsidR="0025521E" w:rsidRPr="002E3ED0" w:rsidRDefault="0025521E" w:rsidP="00875014">
            <w:pPr>
              <w:spacing w:line="360" w:lineRule="auto"/>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lastRenderedPageBreak/>
              <w:t>Directly relevant: Internet-only bank focus; Examines trust and security risks; Adoption vs continuance distinction; Informs UK digital-only banking context</w:t>
            </w:r>
          </w:p>
        </w:tc>
      </w:tr>
      <w:tr w:rsidR="0025521E" w:rsidRPr="002E3ED0" w14:paraId="3D1786AA" w14:textId="77777777" w:rsidTr="0025521E">
        <w:tc>
          <w:tcPr>
            <w:cnfStyle w:val="001000000000" w:firstRow="0" w:lastRow="0" w:firstColumn="1" w:lastColumn="0" w:oddVBand="0" w:evenVBand="0" w:oddHBand="0" w:evenHBand="0" w:firstRowFirstColumn="0" w:firstRowLastColumn="0" w:lastRowFirstColumn="0" w:lastRowLastColumn="0"/>
            <w:tcW w:w="1171" w:type="dxa"/>
            <w:hideMark/>
          </w:tcPr>
          <w:p w14:paraId="580DA018"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t>Majumdar &amp; Pujari (2021)</w:t>
            </w:r>
          </w:p>
        </w:tc>
        <w:tc>
          <w:tcPr>
            <w:tcW w:w="1800" w:type="dxa"/>
            <w:hideMark/>
          </w:tcPr>
          <w:p w14:paraId="1DC3A72A"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Explore consumer acceptance of mobile apps in UAE using TAM</w:t>
            </w:r>
          </w:p>
        </w:tc>
        <w:tc>
          <w:tcPr>
            <w:tcW w:w="1980" w:type="dxa"/>
            <w:hideMark/>
          </w:tcPr>
          <w:p w14:paraId="75F0C60E"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Principal component analysis; CATREG nonlinear regression</w:t>
            </w:r>
          </w:p>
        </w:tc>
        <w:tc>
          <w:tcPr>
            <w:tcW w:w="2081" w:type="dxa"/>
            <w:hideMark/>
          </w:tcPr>
          <w:p w14:paraId="30EAF216"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Almost two-thirds using Mobile Banking apps; Predominantly 30-40 age-group; Perceived usefulness and available information main factors influencing acceptance and usage</w:t>
            </w:r>
          </w:p>
        </w:tc>
        <w:tc>
          <w:tcPr>
            <w:tcW w:w="2073" w:type="dxa"/>
            <w:hideMark/>
          </w:tcPr>
          <w:p w14:paraId="4055F827"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Strengths:</w:t>
            </w:r>
            <w:r w:rsidRPr="002E3ED0">
              <w:rPr>
                <w:rFonts w:ascii="Times New Roman" w:hAnsi="Times New Roman" w:cs="Times New Roman"/>
                <w:sz w:val="24"/>
                <w:szCs w:val="24"/>
              </w:rPr>
              <w:t> Novel CATREG approach; Consumer categorisation </w:t>
            </w: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UAE-specific; App focus only</w:t>
            </w:r>
          </w:p>
        </w:tc>
        <w:tc>
          <w:tcPr>
            <w:tcW w:w="2790" w:type="dxa"/>
            <w:hideMark/>
          </w:tcPr>
          <w:p w14:paraId="3D1DD8EB" w14:textId="77777777" w:rsidR="0025521E" w:rsidRPr="002E3ED0" w:rsidRDefault="0025521E" w:rsidP="00875014">
            <w:pPr>
              <w:spacing w:line="360" w:lineRule="auto"/>
              <w:ind w:left="3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Informs TAM application; Useful for understanding demographic patterns; Methodological insights</w:t>
            </w:r>
          </w:p>
        </w:tc>
      </w:tr>
      <w:tr w:rsidR="0025521E" w:rsidRPr="002E3ED0" w14:paraId="6FB9C1DA" w14:textId="77777777" w:rsidTr="00255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1" w:type="dxa"/>
            <w:hideMark/>
          </w:tcPr>
          <w:p w14:paraId="4A95F2B0"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t>Mazhar et al. (2025)</w:t>
            </w:r>
          </w:p>
        </w:tc>
        <w:tc>
          <w:tcPr>
            <w:tcW w:w="1800" w:type="dxa"/>
            <w:hideMark/>
          </w:tcPr>
          <w:p w14:paraId="758C15FD"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Examine key factors affecting acceptance of e-government services in Pakistan.</w:t>
            </w:r>
          </w:p>
        </w:tc>
        <w:tc>
          <w:tcPr>
            <w:tcW w:w="1980" w:type="dxa"/>
            <w:hideMark/>
          </w:tcPr>
          <w:p w14:paraId="1A3472C3"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Systematic Literature Review; PRISMA framework; 20 studies (2010-2023)</w:t>
            </w:r>
          </w:p>
        </w:tc>
        <w:tc>
          <w:tcPr>
            <w:tcW w:w="2081" w:type="dxa"/>
            <w:hideMark/>
          </w:tcPr>
          <w:p w14:paraId="69237363"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Four categories: policy/governance, technology/infrastructure, security/privacy, digital trust; Digital trust appears as a recurring concern; Categories closely interlinked</w:t>
            </w:r>
          </w:p>
        </w:tc>
        <w:tc>
          <w:tcPr>
            <w:tcW w:w="2073" w:type="dxa"/>
            <w:hideMark/>
          </w:tcPr>
          <w:p w14:paraId="100E80EC"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Strengths:</w:t>
            </w:r>
            <w:r w:rsidRPr="002E3ED0">
              <w:rPr>
                <w:rFonts w:ascii="Times New Roman" w:hAnsi="Times New Roman" w:cs="Times New Roman"/>
                <w:sz w:val="24"/>
                <w:szCs w:val="24"/>
              </w:rPr>
              <w:t> PRISMA adherence; Categorical synthesis </w:t>
            </w: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E-government context; Pakistan-specific</w:t>
            </w:r>
          </w:p>
        </w:tc>
        <w:tc>
          <w:tcPr>
            <w:tcW w:w="2790" w:type="dxa"/>
            <w:hideMark/>
          </w:tcPr>
          <w:p w14:paraId="17749D0D" w14:textId="77777777" w:rsidR="0025521E" w:rsidRPr="002E3ED0" w:rsidRDefault="0025521E" w:rsidP="00875014">
            <w:pPr>
              <w:spacing w:line="360" w:lineRule="auto"/>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Highlights digital trust as central concern; Informs understanding of trust in digital services; Useful for comparative analysis</w:t>
            </w:r>
          </w:p>
        </w:tc>
      </w:tr>
      <w:tr w:rsidR="0025521E" w:rsidRPr="002E3ED0" w14:paraId="6061BE59" w14:textId="77777777" w:rsidTr="0025521E">
        <w:tc>
          <w:tcPr>
            <w:cnfStyle w:val="001000000000" w:firstRow="0" w:lastRow="0" w:firstColumn="1" w:lastColumn="0" w:oddVBand="0" w:evenVBand="0" w:oddHBand="0" w:evenHBand="0" w:firstRowFirstColumn="0" w:firstRowLastColumn="0" w:lastRowFirstColumn="0" w:lastRowLastColumn="0"/>
            <w:tcW w:w="1171" w:type="dxa"/>
            <w:hideMark/>
          </w:tcPr>
          <w:p w14:paraId="444EC8FF"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t>Norbu et al. (2024)</w:t>
            </w:r>
          </w:p>
        </w:tc>
        <w:tc>
          <w:tcPr>
            <w:tcW w:w="1800" w:type="dxa"/>
            <w:hideMark/>
          </w:tcPr>
          <w:p w14:paraId="1D81C1C5"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 xml:space="preserve">Provide insight into key factors impacting </w:t>
            </w:r>
            <w:r w:rsidRPr="002E3ED0">
              <w:rPr>
                <w:rFonts w:ascii="Times New Roman" w:hAnsi="Times New Roman" w:cs="Times New Roman"/>
                <w:sz w:val="24"/>
                <w:szCs w:val="24"/>
              </w:rPr>
              <w:lastRenderedPageBreak/>
              <w:t>consumers' perceptions and behaviours towards blockchain adoption in digital payment systems.</w:t>
            </w:r>
          </w:p>
        </w:tc>
        <w:tc>
          <w:tcPr>
            <w:tcW w:w="1980" w:type="dxa"/>
            <w:hideMark/>
          </w:tcPr>
          <w:p w14:paraId="15F361F5"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lastRenderedPageBreak/>
              <w:t xml:space="preserve">Systematic Literature Review; 1859 </w:t>
            </w:r>
            <w:r w:rsidRPr="002E3ED0">
              <w:rPr>
                <w:rFonts w:ascii="Times New Roman" w:hAnsi="Times New Roman" w:cs="Times New Roman"/>
                <w:sz w:val="24"/>
                <w:szCs w:val="24"/>
              </w:rPr>
              <w:lastRenderedPageBreak/>
              <w:t>initial studies; 48 included</w:t>
            </w:r>
          </w:p>
        </w:tc>
        <w:tc>
          <w:tcPr>
            <w:tcW w:w="2081" w:type="dxa"/>
            <w:hideMark/>
          </w:tcPr>
          <w:p w14:paraId="3501C11B"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lastRenderedPageBreak/>
              <w:t xml:space="preserve">Security, privacy, transparency, regulation most </w:t>
            </w:r>
            <w:r w:rsidRPr="002E3ED0">
              <w:rPr>
                <w:rFonts w:ascii="Times New Roman" w:hAnsi="Times New Roman" w:cs="Times New Roman"/>
                <w:sz w:val="24"/>
                <w:szCs w:val="24"/>
              </w:rPr>
              <w:lastRenderedPageBreak/>
              <w:t>significant factors influencing trust; UTAUT factors: performance expectancy, effort expectancy, social influence, facilitating conditions</w:t>
            </w:r>
          </w:p>
        </w:tc>
        <w:tc>
          <w:tcPr>
            <w:tcW w:w="2073" w:type="dxa"/>
            <w:hideMark/>
          </w:tcPr>
          <w:p w14:paraId="1F59FF21"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lastRenderedPageBreak/>
              <w:t>Strengths:</w:t>
            </w:r>
            <w:r w:rsidRPr="002E3ED0">
              <w:rPr>
                <w:rFonts w:ascii="Times New Roman" w:hAnsi="Times New Roman" w:cs="Times New Roman"/>
                <w:sz w:val="24"/>
                <w:szCs w:val="24"/>
              </w:rPr>
              <w:t xml:space="preserve"> Comprehensive search; Focus on trust and </w:t>
            </w:r>
            <w:r w:rsidRPr="002E3ED0">
              <w:rPr>
                <w:rFonts w:ascii="Times New Roman" w:hAnsi="Times New Roman" w:cs="Times New Roman"/>
                <w:sz w:val="24"/>
                <w:szCs w:val="24"/>
              </w:rPr>
              <w:lastRenderedPageBreak/>
              <w:t>acceptance </w:t>
            </w: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Blockchain/payment focus; Not banking-specific</w:t>
            </w:r>
          </w:p>
        </w:tc>
        <w:tc>
          <w:tcPr>
            <w:tcW w:w="2790" w:type="dxa"/>
            <w:hideMark/>
          </w:tcPr>
          <w:p w14:paraId="5A9D520E" w14:textId="77777777" w:rsidR="0025521E" w:rsidRPr="002E3ED0" w:rsidRDefault="0025521E" w:rsidP="00875014">
            <w:pPr>
              <w:spacing w:line="360" w:lineRule="auto"/>
              <w:ind w:left="3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lastRenderedPageBreak/>
              <w:t xml:space="preserve">Identifies key trust factors in digital payments; Informs </w:t>
            </w:r>
            <w:r w:rsidRPr="002E3ED0">
              <w:rPr>
                <w:rFonts w:ascii="Times New Roman" w:hAnsi="Times New Roman" w:cs="Times New Roman"/>
                <w:sz w:val="24"/>
                <w:szCs w:val="24"/>
              </w:rPr>
              <w:lastRenderedPageBreak/>
              <w:t>theoretical framework; Useful for understanding security-privacy-trust relationships</w:t>
            </w:r>
          </w:p>
        </w:tc>
      </w:tr>
      <w:tr w:rsidR="0025521E" w:rsidRPr="002E3ED0" w14:paraId="166246C9" w14:textId="77777777" w:rsidTr="00255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1" w:type="dxa"/>
            <w:hideMark/>
          </w:tcPr>
          <w:p w14:paraId="20D03F51"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lastRenderedPageBreak/>
              <w:t>Oscar (2026)</w:t>
            </w:r>
          </w:p>
        </w:tc>
        <w:tc>
          <w:tcPr>
            <w:tcW w:w="1800" w:type="dxa"/>
            <w:hideMark/>
          </w:tcPr>
          <w:p w14:paraId="7019B7E0"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Investigate relationship between technology and user satisfaction in digital banking with trust as mediator in developing economies.</w:t>
            </w:r>
          </w:p>
        </w:tc>
        <w:tc>
          <w:tcPr>
            <w:tcW w:w="1980" w:type="dxa"/>
            <w:hideMark/>
          </w:tcPr>
          <w:p w14:paraId="25B00815"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Questionnaire survey; Statistical analysis</w:t>
            </w:r>
          </w:p>
        </w:tc>
        <w:tc>
          <w:tcPr>
            <w:tcW w:w="2081" w:type="dxa"/>
            <w:hideMark/>
          </w:tcPr>
          <w:p w14:paraId="6D32E345"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Technological features significantly influence user trust; Trust has a significant positive impact on user satisfaction; Trust mediates the technology-satisfaction relationship</w:t>
            </w:r>
          </w:p>
        </w:tc>
        <w:tc>
          <w:tcPr>
            <w:tcW w:w="2073" w:type="dxa"/>
            <w:hideMark/>
          </w:tcPr>
          <w:p w14:paraId="5445BF82"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Strengths:</w:t>
            </w:r>
            <w:r w:rsidRPr="002E3ED0">
              <w:rPr>
                <w:rFonts w:ascii="Times New Roman" w:hAnsi="Times New Roman" w:cs="Times New Roman"/>
                <w:sz w:val="24"/>
                <w:szCs w:val="24"/>
              </w:rPr>
              <w:t> Addresses mediation; Developing economy focus.</w:t>
            </w:r>
          </w:p>
          <w:p w14:paraId="12D0B85E"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Not UK-specific; Limited methodological detail</w:t>
            </w:r>
          </w:p>
        </w:tc>
        <w:tc>
          <w:tcPr>
            <w:tcW w:w="2790" w:type="dxa"/>
            <w:hideMark/>
          </w:tcPr>
          <w:p w14:paraId="6C3DB554" w14:textId="77777777" w:rsidR="0025521E" w:rsidRPr="002E3ED0" w:rsidRDefault="0025521E" w:rsidP="00875014">
            <w:pPr>
              <w:spacing w:line="360" w:lineRule="auto"/>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Demonstrates trust as mediator; Informs understanding of technology-trust-satisfaction relationships; Useful for UK comparison</w:t>
            </w:r>
          </w:p>
        </w:tc>
      </w:tr>
      <w:tr w:rsidR="0025521E" w:rsidRPr="002E3ED0" w14:paraId="0BEBFDC3" w14:textId="77777777" w:rsidTr="0025521E">
        <w:tc>
          <w:tcPr>
            <w:cnfStyle w:val="001000000000" w:firstRow="0" w:lastRow="0" w:firstColumn="1" w:lastColumn="0" w:oddVBand="0" w:evenVBand="0" w:oddHBand="0" w:evenHBand="0" w:firstRowFirstColumn="0" w:firstRowLastColumn="0" w:lastRowFirstColumn="0" w:lastRowLastColumn="0"/>
            <w:tcW w:w="1171" w:type="dxa"/>
            <w:hideMark/>
          </w:tcPr>
          <w:p w14:paraId="53425CD1"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t>Penney et al. (2021)</w:t>
            </w:r>
          </w:p>
        </w:tc>
        <w:tc>
          <w:tcPr>
            <w:tcW w:w="1800" w:type="dxa"/>
            <w:hideMark/>
          </w:tcPr>
          <w:p w14:paraId="33EFA8ED"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Examine factors predicting users' BI to adopt mobile money using UTAUT2 with perceived risk and trust.</w:t>
            </w:r>
          </w:p>
        </w:tc>
        <w:tc>
          <w:tcPr>
            <w:tcW w:w="1980" w:type="dxa"/>
            <w:hideMark/>
          </w:tcPr>
          <w:p w14:paraId="0C304E43"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SEM; N=373 mobile money users in Ghana</w:t>
            </w:r>
          </w:p>
        </w:tc>
        <w:tc>
          <w:tcPr>
            <w:tcW w:w="2081" w:type="dxa"/>
            <w:hideMark/>
          </w:tcPr>
          <w:p w14:paraId="343722BA"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 xml:space="preserve">Performance expectancy, effort expectancy, social influence, habit, price value, perceived risk, and trust substantially affect BI; Facilitating conditions and </w:t>
            </w:r>
            <w:r w:rsidRPr="002E3ED0">
              <w:rPr>
                <w:rFonts w:ascii="Times New Roman" w:hAnsi="Times New Roman" w:cs="Times New Roman"/>
                <w:sz w:val="24"/>
                <w:szCs w:val="24"/>
              </w:rPr>
              <w:lastRenderedPageBreak/>
              <w:t>hedonic motivation showed no effect</w:t>
            </w:r>
          </w:p>
        </w:tc>
        <w:tc>
          <w:tcPr>
            <w:tcW w:w="2073" w:type="dxa"/>
            <w:hideMark/>
          </w:tcPr>
          <w:p w14:paraId="423C10DD"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lastRenderedPageBreak/>
              <w:t>Strengths:</w:t>
            </w:r>
            <w:r w:rsidRPr="002E3ED0">
              <w:rPr>
                <w:rFonts w:ascii="Times New Roman" w:hAnsi="Times New Roman" w:cs="Times New Roman"/>
                <w:sz w:val="24"/>
                <w:szCs w:val="24"/>
              </w:rPr>
              <w:t> Extended UTAUT2; SEM application.</w:t>
            </w:r>
          </w:p>
          <w:p w14:paraId="155FB937"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Mobile money context; Ghana-specific</w:t>
            </w:r>
          </w:p>
        </w:tc>
        <w:tc>
          <w:tcPr>
            <w:tcW w:w="2790" w:type="dxa"/>
            <w:hideMark/>
          </w:tcPr>
          <w:p w14:paraId="14513F09" w14:textId="77777777" w:rsidR="0025521E" w:rsidRPr="002E3ED0" w:rsidRDefault="0025521E" w:rsidP="00875014">
            <w:pPr>
              <w:spacing w:line="360" w:lineRule="auto"/>
              <w:ind w:left="3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Validates extended UTAUT2 with risk and trust; Informs theoretical framework; Useful for methodology.</w:t>
            </w:r>
          </w:p>
        </w:tc>
      </w:tr>
      <w:tr w:rsidR="0025521E" w:rsidRPr="002E3ED0" w14:paraId="45F89E20" w14:textId="77777777" w:rsidTr="00255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1" w:type="dxa"/>
            <w:hideMark/>
          </w:tcPr>
          <w:p w14:paraId="7772CBDF"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t>Qatawneh et al. (2024)</w:t>
            </w:r>
          </w:p>
        </w:tc>
        <w:tc>
          <w:tcPr>
            <w:tcW w:w="1800" w:type="dxa"/>
            <w:hideMark/>
          </w:tcPr>
          <w:p w14:paraId="0A042665"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Examine the mediating role of e-trust and e-satisfaction between e-service quality and e-loyalty in e-government.</w:t>
            </w:r>
          </w:p>
        </w:tc>
        <w:tc>
          <w:tcPr>
            <w:tcW w:w="1980" w:type="dxa"/>
            <w:hideMark/>
          </w:tcPr>
          <w:p w14:paraId="5C41B83F"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PLS-SEM; Jordanian citizens</w:t>
            </w:r>
          </w:p>
        </w:tc>
        <w:tc>
          <w:tcPr>
            <w:tcW w:w="2081" w:type="dxa"/>
            <w:hideMark/>
          </w:tcPr>
          <w:p w14:paraId="604634A2"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E-service quality positively affects e-loyalty, e-trust, and e-satisfaction; E-trust and e-satisfaction partially mediate the e-service quality-e-loyalty relationship.</w:t>
            </w:r>
          </w:p>
        </w:tc>
        <w:tc>
          <w:tcPr>
            <w:tcW w:w="2073" w:type="dxa"/>
            <w:hideMark/>
          </w:tcPr>
          <w:p w14:paraId="005E0C56"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Strengths:</w:t>
            </w:r>
            <w:r w:rsidRPr="002E3ED0">
              <w:rPr>
                <w:rFonts w:ascii="Times New Roman" w:hAnsi="Times New Roman" w:cs="Times New Roman"/>
                <w:sz w:val="24"/>
                <w:szCs w:val="24"/>
              </w:rPr>
              <w:t> Mediation analysis; PLS-SEM.</w:t>
            </w:r>
          </w:p>
          <w:p w14:paraId="330BFEC8"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E-government context; Jordan-specific</w:t>
            </w:r>
          </w:p>
        </w:tc>
        <w:tc>
          <w:tcPr>
            <w:tcW w:w="2790" w:type="dxa"/>
            <w:hideMark/>
          </w:tcPr>
          <w:p w14:paraId="6E3A19B1" w14:textId="77777777" w:rsidR="0025521E" w:rsidRPr="002E3ED0" w:rsidRDefault="0025521E" w:rsidP="00875014">
            <w:pPr>
              <w:spacing w:line="360" w:lineRule="auto"/>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Demonstrates trust mediation in service quality-loyalty relationship; Informs understanding of trust mechanisms</w:t>
            </w:r>
          </w:p>
        </w:tc>
      </w:tr>
      <w:tr w:rsidR="0025521E" w:rsidRPr="002E3ED0" w14:paraId="5548248B" w14:textId="77777777" w:rsidTr="0025521E">
        <w:tc>
          <w:tcPr>
            <w:cnfStyle w:val="001000000000" w:firstRow="0" w:lastRow="0" w:firstColumn="1" w:lastColumn="0" w:oddVBand="0" w:evenVBand="0" w:oddHBand="0" w:evenHBand="0" w:firstRowFirstColumn="0" w:firstRowLastColumn="0" w:lastRowFirstColumn="0" w:lastRowLastColumn="0"/>
            <w:tcW w:w="1171" w:type="dxa"/>
            <w:hideMark/>
          </w:tcPr>
          <w:p w14:paraId="6DD71128"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t>Rahayu et al. (2026)</w:t>
            </w:r>
          </w:p>
        </w:tc>
        <w:tc>
          <w:tcPr>
            <w:tcW w:w="1800" w:type="dxa"/>
            <w:hideMark/>
          </w:tcPr>
          <w:p w14:paraId="6EBA1C12"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Examine effect of perceived risk, data privacy protection, and digital service quality on customer trust in digital banking in Indonesia.</w:t>
            </w:r>
          </w:p>
        </w:tc>
        <w:tc>
          <w:tcPr>
            <w:tcW w:w="1980" w:type="dxa"/>
            <w:hideMark/>
          </w:tcPr>
          <w:p w14:paraId="74D3D825"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SEM-PLS; N=150 digital banking users</w:t>
            </w:r>
          </w:p>
        </w:tc>
        <w:tc>
          <w:tcPr>
            <w:tcW w:w="2081" w:type="dxa"/>
            <w:hideMark/>
          </w:tcPr>
          <w:p w14:paraId="7E17FC26"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Perceived risk negatively affects trust; Data privacy protection and digital service quality positively affect trust; Digital service quality is the most dominant factor; R²=0.672</w:t>
            </w:r>
          </w:p>
        </w:tc>
        <w:tc>
          <w:tcPr>
            <w:tcW w:w="2073" w:type="dxa"/>
            <w:hideMark/>
          </w:tcPr>
          <w:p w14:paraId="79312F9E"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Strengths:</w:t>
            </w:r>
            <w:r w:rsidRPr="002E3ED0">
              <w:rPr>
                <w:rFonts w:ascii="Times New Roman" w:hAnsi="Times New Roman" w:cs="Times New Roman"/>
                <w:sz w:val="24"/>
                <w:szCs w:val="24"/>
              </w:rPr>
              <w:t> Integrated model; High explanatory power.</w:t>
            </w:r>
          </w:p>
          <w:p w14:paraId="6EFCBD4D"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Indonesia-specific; Small sample</w:t>
            </w:r>
          </w:p>
        </w:tc>
        <w:tc>
          <w:tcPr>
            <w:tcW w:w="2790" w:type="dxa"/>
            <w:hideMark/>
          </w:tcPr>
          <w:p w14:paraId="70F72B61" w14:textId="77777777" w:rsidR="0025521E" w:rsidRPr="002E3ED0" w:rsidRDefault="0025521E" w:rsidP="00875014">
            <w:pPr>
              <w:spacing w:line="360" w:lineRule="auto"/>
              <w:ind w:left="3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Directly addresses risk, privacy, service quality and trust; Informs understanding of trust determinants; Useful for UK comparison.</w:t>
            </w:r>
          </w:p>
        </w:tc>
      </w:tr>
      <w:tr w:rsidR="0025521E" w:rsidRPr="002E3ED0" w14:paraId="09058B01" w14:textId="77777777" w:rsidTr="00255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1" w:type="dxa"/>
            <w:hideMark/>
          </w:tcPr>
          <w:p w14:paraId="4BAECF86"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t>Ridwan et al. (2025)</w:t>
            </w:r>
          </w:p>
        </w:tc>
        <w:tc>
          <w:tcPr>
            <w:tcW w:w="1800" w:type="dxa"/>
            <w:hideMark/>
          </w:tcPr>
          <w:p w14:paraId="0C5C1828"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 xml:space="preserve">Investigate impact of Digital Banking Adoption, Trust in Fintech, Perceived Security, and Customer </w:t>
            </w:r>
            <w:r w:rsidRPr="002E3ED0">
              <w:rPr>
                <w:rFonts w:ascii="Times New Roman" w:hAnsi="Times New Roman" w:cs="Times New Roman"/>
                <w:sz w:val="24"/>
                <w:szCs w:val="24"/>
              </w:rPr>
              <w:lastRenderedPageBreak/>
              <w:t>Satisfaction on Financial Inclusion in Indonesia.</w:t>
            </w:r>
          </w:p>
        </w:tc>
        <w:tc>
          <w:tcPr>
            <w:tcW w:w="1980" w:type="dxa"/>
            <w:hideMark/>
          </w:tcPr>
          <w:p w14:paraId="44176D27"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lastRenderedPageBreak/>
              <w:t>Quantitative; SEM-PLS; N=110 respondents</w:t>
            </w:r>
          </w:p>
        </w:tc>
        <w:tc>
          <w:tcPr>
            <w:tcW w:w="2081" w:type="dxa"/>
            <w:hideMark/>
          </w:tcPr>
          <w:p w14:paraId="51C35AF7"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 xml:space="preserve">All four variables significantly and positively influence financial inclusion; Digital Banking Adoption exerts the strongest impact; Model </w:t>
            </w:r>
            <w:r w:rsidRPr="002E3ED0">
              <w:rPr>
                <w:rFonts w:ascii="Times New Roman" w:hAnsi="Times New Roman" w:cs="Times New Roman"/>
                <w:sz w:val="24"/>
                <w:szCs w:val="24"/>
              </w:rPr>
              <w:lastRenderedPageBreak/>
              <w:t>explains 68% variance.</w:t>
            </w:r>
          </w:p>
        </w:tc>
        <w:tc>
          <w:tcPr>
            <w:tcW w:w="2073" w:type="dxa"/>
            <w:hideMark/>
          </w:tcPr>
          <w:p w14:paraId="4E85A1DA"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lastRenderedPageBreak/>
              <w:t>Strengths:</w:t>
            </w:r>
            <w:r w:rsidRPr="002E3ED0">
              <w:rPr>
                <w:rFonts w:ascii="Times New Roman" w:hAnsi="Times New Roman" w:cs="Times New Roman"/>
                <w:sz w:val="24"/>
                <w:szCs w:val="24"/>
              </w:rPr>
              <w:t> Addresses financial inclusion; SEM-PLS.</w:t>
            </w:r>
          </w:p>
          <w:p w14:paraId="779F0627"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Small sample; Indonesia-specific</w:t>
            </w:r>
          </w:p>
        </w:tc>
        <w:tc>
          <w:tcPr>
            <w:tcW w:w="2790" w:type="dxa"/>
            <w:hideMark/>
          </w:tcPr>
          <w:p w14:paraId="2ABBFDD5" w14:textId="77777777" w:rsidR="0025521E" w:rsidRPr="002E3ED0" w:rsidRDefault="0025521E" w:rsidP="00875014">
            <w:pPr>
              <w:spacing w:line="360" w:lineRule="auto"/>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Demonstrates trust, security and satisfaction relationships; Informs understanding of digital banking outcomes</w:t>
            </w:r>
          </w:p>
        </w:tc>
      </w:tr>
      <w:tr w:rsidR="0025521E" w:rsidRPr="002E3ED0" w14:paraId="0486B0AB" w14:textId="77777777" w:rsidTr="0025521E">
        <w:tc>
          <w:tcPr>
            <w:cnfStyle w:val="001000000000" w:firstRow="0" w:lastRow="0" w:firstColumn="1" w:lastColumn="0" w:oddVBand="0" w:evenVBand="0" w:oddHBand="0" w:evenHBand="0" w:firstRowFirstColumn="0" w:firstRowLastColumn="0" w:lastRowFirstColumn="0" w:lastRowLastColumn="0"/>
            <w:tcW w:w="1171" w:type="dxa"/>
            <w:hideMark/>
          </w:tcPr>
          <w:p w14:paraId="34B268CD"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t>Roberts-Lombard &amp; Petzer (2021)</w:t>
            </w:r>
          </w:p>
        </w:tc>
        <w:tc>
          <w:tcPr>
            <w:tcW w:w="1800" w:type="dxa"/>
            <w:hideMark/>
          </w:tcPr>
          <w:p w14:paraId="3B6B463B"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Investigate role of trust (organism) in influencing behavioural intentions of retail banking customers using S-O-R framework.</w:t>
            </w:r>
          </w:p>
        </w:tc>
        <w:tc>
          <w:tcPr>
            <w:tcW w:w="1980" w:type="dxa"/>
            <w:hideMark/>
          </w:tcPr>
          <w:p w14:paraId="1D722365"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Self-administered questionnaire; N=599 retail banking customers</w:t>
            </w:r>
          </w:p>
        </w:tc>
        <w:tc>
          <w:tcPr>
            <w:tcW w:w="2081" w:type="dxa"/>
            <w:hideMark/>
          </w:tcPr>
          <w:p w14:paraId="3EC4AAFD"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Customer-focused efforts significantly influence trust except expertise; Trust partially mediates relationships; Perceived value and duration of support moderate relationships.</w:t>
            </w:r>
          </w:p>
        </w:tc>
        <w:tc>
          <w:tcPr>
            <w:tcW w:w="2073" w:type="dxa"/>
            <w:hideMark/>
          </w:tcPr>
          <w:p w14:paraId="19E088D3"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Strengths:</w:t>
            </w:r>
            <w:r w:rsidRPr="002E3ED0">
              <w:rPr>
                <w:rFonts w:ascii="Times New Roman" w:hAnsi="Times New Roman" w:cs="Times New Roman"/>
                <w:sz w:val="24"/>
                <w:szCs w:val="24"/>
              </w:rPr>
              <w:t> S-O-R framework; Mediation and moderation analysis.</w:t>
            </w:r>
          </w:p>
          <w:p w14:paraId="55EDC31E"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Emerging market context; Cross-sectional</w:t>
            </w:r>
          </w:p>
        </w:tc>
        <w:tc>
          <w:tcPr>
            <w:tcW w:w="2790" w:type="dxa"/>
            <w:hideMark/>
          </w:tcPr>
          <w:p w14:paraId="1D634625" w14:textId="77777777" w:rsidR="0025521E" w:rsidRPr="002E3ED0" w:rsidRDefault="0025521E" w:rsidP="00875014">
            <w:pPr>
              <w:spacing w:line="360" w:lineRule="auto"/>
              <w:ind w:left="3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Demonstrates trust as an organism in S-O-R framework; Informs trust conceptualisation; Useful for UK context comparison</w:t>
            </w:r>
          </w:p>
        </w:tc>
      </w:tr>
      <w:tr w:rsidR="0025521E" w:rsidRPr="002E3ED0" w14:paraId="4ABD5CD9" w14:textId="77777777" w:rsidTr="00255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1" w:type="dxa"/>
            <w:hideMark/>
          </w:tcPr>
          <w:p w14:paraId="3E343E94"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t>Saveljeva &amp; Volkova (2026)</w:t>
            </w:r>
          </w:p>
        </w:tc>
        <w:tc>
          <w:tcPr>
            <w:tcW w:w="1800" w:type="dxa"/>
            <w:hideMark/>
          </w:tcPr>
          <w:p w14:paraId="75517EEA"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Investigate relationship between digital trust and third-party risk categories in Baltic banking industry.</w:t>
            </w:r>
          </w:p>
        </w:tc>
        <w:tc>
          <w:tcPr>
            <w:tcW w:w="1980" w:type="dxa"/>
            <w:hideMark/>
          </w:tcPr>
          <w:p w14:paraId="527EDE54"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Mixed-methods; PLS-SEM; Survey N=138; Expert interviews N=13</w:t>
            </w:r>
          </w:p>
        </w:tc>
        <w:tc>
          <w:tcPr>
            <w:tcW w:w="2081" w:type="dxa"/>
            <w:hideMark/>
          </w:tcPr>
          <w:p w14:paraId="68241827"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Higher digital trust associated with lower assessed risk in 10 of 12 categories; Strongest effects for concentration, contingency planning, financial/strategic risks; No effect for cybersecurity risk</w:t>
            </w:r>
          </w:p>
        </w:tc>
        <w:tc>
          <w:tcPr>
            <w:tcW w:w="2073" w:type="dxa"/>
            <w:hideMark/>
          </w:tcPr>
          <w:p w14:paraId="4BBF6FA0"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Strengths:</w:t>
            </w:r>
            <w:r w:rsidRPr="002E3ED0">
              <w:rPr>
                <w:rFonts w:ascii="Times New Roman" w:hAnsi="Times New Roman" w:cs="Times New Roman"/>
                <w:sz w:val="24"/>
                <w:szCs w:val="24"/>
              </w:rPr>
              <w:t> Mixed-methods; Expert validation; Novel risk categories.</w:t>
            </w:r>
          </w:p>
          <w:p w14:paraId="0A2A36B4"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Baltic-specific; Employee perspective</w:t>
            </w:r>
          </w:p>
        </w:tc>
        <w:tc>
          <w:tcPr>
            <w:tcW w:w="2790" w:type="dxa"/>
            <w:hideMark/>
          </w:tcPr>
          <w:p w14:paraId="1081483F" w14:textId="77777777" w:rsidR="0025521E" w:rsidRPr="002E3ED0" w:rsidRDefault="0025521E" w:rsidP="00875014">
            <w:pPr>
              <w:spacing w:line="360" w:lineRule="auto"/>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Addresses institutional trust dimensions; Informs understanding of risk-trust relationships; Useful for regulatory context</w:t>
            </w:r>
          </w:p>
        </w:tc>
      </w:tr>
      <w:tr w:rsidR="0025521E" w:rsidRPr="002E3ED0" w14:paraId="433D9237" w14:textId="77777777" w:rsidTr="0025521E">
        <w:tc>
          <w:tcPr>
            <w:cnfStyle w:val="001000000000" w:firstRow="0" w:lastRow="0" w:firstColumn="1" w:lastColumn="0" w:oddVBand="0" w:evenVBand="0" w:oddHBand="0" w:evenHBand="0" w:firstRowFirstColumn="0" w:firstRowLastColumn="0" w:lastRowFirstColumn="0" w:lastRowLastColumn="0"/>
            <w:tcW w:w="1171" w:type="dxa"/>
            <w:hideMark/>
          </w:tcPr>
          <w:p w14:paraId="5D9FC101"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t xml:space="preserve">Suwito &amp; </w:t>
            </w:r>
            <w:r w:rsidRPr="002E3ED0">
              <w:rPr>
                <w:rFonts w:ascii="Times New Roman" w:hAnsi="Times New Roman" w:cs="Times New Roman"/>
                <w:sz w:val="24"/>
                <w:szCs w:val="24"/>
              </w:rPr>
              <w:lastRenderedPageBreak/>
              <w:t>Panjaitan (2025)</w:t>
            </w:r>
          </w:p>
        </w:tc>
        <w:tc>
          <w:tcPr>
            <w:tcW w:w="1800" w:type="dxa"/>
            <w:hideMark/>
          </w:tcPr>
          <w:p w14:paraId="54BC2AD7"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lastRenderedPageBreak/>
              <w:t xml:space="preserve">Develops a comprehensive model of digital </w:t>
            </w:r>
            <w:r w:rsidRPr="002E3ED0">
              <w:rPr>
                <w:rFonts w:ascii="Times New Roman" w:hAnsi="Times New Roman" w:cs="Times New Roman"/>
                <w:sz w:val="24"/>
                <w:szCs w:val="24"/>
              </w:rPr>
              <w:lastRenderedPageBreak/>
              <w:t>banking acceptance through systematic review and meta-analysis</w:t>
            </w:r>
          </w:p>
        </w:tc>
        <w:tc>
          <w:tcPr>
            <w:tcW w:w="1980" w:type="dxa"/>
            <w:hideMark/>
          </w:tcPr>
          <w:p w14:paraId="51C44E06"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lastRenderedPageBreak/>
              <w:t>Systematic Review and Meta-Analysis</w:t>
            </w:r>
          </w:p>
        </w:tc>
        <w:tc>
          <w:tcPr>
            <w:tcW w:w="2081" w:type="dxa"/>
            <w:hideMark/>
          </w:tcPr>
          <w:p w14:paraId="72F226CD"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 xml:space="preserve">Most UTAUT2 core constructs significant; </w:t>
            </w:r>
            <w:r w:rsidRPr="002E3ED0">
              <w:rPr>
                <w:rFonts w:ascii="Times New Roman" w:hAnsi="Times New Roman" w:cs="Times New Roman"/>
                <w:sz w:val="24"/>
                <w:szCs w:val="24"/>
              </w:rPr>
              <w:lastRenderedPageBreak/>
              <w:t>External variables: Trust, Perceived Security, Enterprise Image, Promotions, Perceived Risk play role.</w:t>
            </w:r>
          </w:p>
        </w:tc>
        <w:tc>
          <w:tcPr>
            <w:tcW w:w="2073" w:type="dxa"/>
            <w:hideMark/>
          </w:tcPr>
          <w:p w14:paraId="4EC77285"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lastRenderedPageBreak/>
              <w:t>Strengths:</w:t>
            </w:r>
            <w:r w:rsidRPr="002E3ED0">
              <w:rPr>
                <w:rFonts w:ascii="Times New Roman" w:hAnsi="Times New Roman" w:cs="Times New Roman"/>
                <w:sz w:val="24"/>
                <w:szCs w:val="24"/>
              </w:rPr>
              <w:t xml:space="preserve"> Comprehensive synthesis; </w:t>
            </w:r>
            <w:r w:rsidRPr="002E3ED0">
              <w:rPr>
                <w:rFonts w:ascii="Times New Roman" w:hAnsi="Times New Roman" w:cs="Times New Roman"/>
                <w:sz w:val="24"/>
                <w:szCs w:val="24"/>
              </w:rPr>
              <w:lastRenderedPageBreak/>
              <w:t>Proposed integrated model.</w:t>
            </w:r>
          </w:p>
          <w:p w14:paraId="54812F75"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Not UK-specific</w:t>
            </w:r>
          </w:p>
        </w:tc>
        <w:tc>
          <w:tcPr>
            <w:tcW w:w="2790" w:type="dxa"/>
            <w:hideMark/>
          </w:tcPr>
          <w:p w14:paraId="7B067EDB" w14:textId="77777777" w:rsidR="0025521E" w:rsidRPr="002E3ED0" w:rsidRDefault="0025521E" w:rsidP="00875014">
            <w:pPr>
              <w:spacing w:line="360" w:lineRule="auto"/>
              <w:ind w:left="3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lastRenderedPageBreak/>
              <w:t xml:space="preserve">Highly relevant: Synthesises trust and security in digital </w:t>
            </w:r>
            <w:r w:rsidRPr="002E3ED0">
              <w:rPr>
                <w:rFonts w:ascii="Times New Roman" w:hAnsi="Times New Roman" w:cs="Times New Roman"/>
                <w:sz w:val="24"/>
                <w:szCs w:val="24"/>
              </w:rPr>
              <w:lastRenderedPageBreak/>
              <w:t>banking acceptance; Informs theoretical framework development; Provides model guidance</w:t>
            </w:r>
          </w:p>
        </w:tc>
      </w:tr>
      <w:tr w:rsidR="0025521E" w:rsidRPr="002E3ED0" w14:paraId="566C9E59" w14:textId="77777777" w:rsidTr="00255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1" w:type="dxa"/>
            <w:hideMark/>
          </w:tcPr>
          <w:p w14:paraId="2C1F2F29"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lastRenderedPageBreak/>
              <w:t>Tuli (2023)</w:t>
            </w:r>
          </w:p>
        </w:tc>
        <w:tc>
          <w:tcPr>
            <w:tcW w:w="1800" w:type="dxa"/>
            <w:hideMark/>
          </w:tcPr>
          <w:p w14:paraId="4360EFF1"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Understand obstacles preventing widespread adoption of digital banking in developing Asian economies.</w:t>
            </w:r>
          </w:p>
        </w:tc>
        <w:tc>
          <w:tcPr>
            <w:tcW w:w="1980" w:type="dxa"/>
            <w:hideMark/>
          </w:tcPr>
          <w:p w14:paraId="78E1C54B"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Systematic Literature Review and Bibliometric Analysis; 4211 initial articles; 152 selected; 85 full-text reviewed</w:t>
            </w:r>
          </w:p>
        </w:tc>
        <w:tc>
          <w:tcPr>
            <w:tcW w:w="2081" w:type="dxa"/>
            <w:hideMark/>
          </w:tcPr>
          <w:p w14:paraId="085AB8CC"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Identified essential themes, theories and methodologies; Unexplored areas: crowdfunding, Robo-advisors, payment apps, neo banks, P2P lending, investing apps.</w:t>
            </w:r>
          </w:p>
        </w:tc>
        <w:tc>
          <w:tcPr>
            <w:tcW w:w="2073" w:type="dxa"/>
            <w:hideMark/>
          </w:tcPr>
          <w:p w14:paraId="1B7028FA"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Strengths:</w:t>
            </w:r>
            <w:r w:rsidRPr="002E3ED0">
              <w:rPr>
                <w:rFonts w:ascii="Times New Roman" w:hAnsi="Times New Roman" w:cs="Times New Roman"/>
                <w:sz w:val="24"/>
                <w:szCs w:val="24"/>
              </w:rPr>
              <w:t> Bibliometric analysis; Comprehensive search.</w:t>
            </w:r>
          </w:p>
          <w:p w14:paraId="38E0C182"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Developing Asia focus; Scopus only</w:t>
            </w:r>
          </w:p>
        </w:tc>
        <w:tc>
          <w:tcPr>
            <w:tcW w:w="2790" w:type="dxa"/>
            <w:hideMark/>
          </w:tcPr>
          <w:p w14:paraId="216C6508" w14:textId="77777777" w:rsidR="0025521E" w:rsidRPr="002E3ED0" w:rsidRDefault="0025521E" w:rsidP="00875014">
            <w:pPr>
              <w:spacing w:line="360" w:lineRule="auto"/>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Provides methodological and thematic insights; Identifies research gaps; Useful for UK comparative analysis.</w:t>
            </w:r>
          </w:p>
        </w:tc>
      </w:tr>
      <w:tr w:rsidR="0025521E" w:rsidRPr="002E3ED0" w14:paraId="40E22441" w14:textId="77777777" w:rsidTr="0025521E">
        <w:tc>
          <w:tcPr>
            <w:cnfStyle w:val="001000000000" w:firstRow="0" w:lastRow="0" w:firstColumn="1" w:lastColumn="0" w:oddVBand="0" w:evenVBand="0" w:oddHBand="0" w:evenHBand="0" w:firstRowFirstColumn="0" w:firstRowLastColumn="0" w:lastRowFirstColumn="0" w:lastRowLastColumn="0"/>
            <w:tcW w:w="1171" w:type="dxa"/>
            <w:hideMark/>
          </w:tcPr>
          <w:p w14:paraId="2003B040"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t>Viet Ha et al. (2026)</w:t>
            </w:r>
          </w:p>
        </w:tc>
        <w:tc>
          <w:tcPr>
            <w:tcW w:w="1800" w:type="dxa"/>
            <w:hideMark/>
          </w:tcPr>
          <w:p w14:paraId="488D3AA7"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Investigate key factors influencing mobile banking adoption in Vietnam with focus on perceived risk and trust within TAM.</w:t>
            </w:r>
          </w:p>
        </w:tc>
        <w:tc>
          <w:tcPr>
            <w:tcW w:w="1980" w:type="dxa"/>
            <w:hideMark/>
          </w:tcPr>
          <w:p w14:paraId="6D0FE35E"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SEM; N=355 respondents</w:t>
            </w:r>
          </w:p>
        </w:tc>
        <w:tc>
          <w:tcPr>
            <w:tcW w:w="2081" w:type="dxa"/>
            <w:hideMark/>
          </w:tcPr>
          <w:p w14:paraId="15929106"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Traditional TAM constructs significantly influence adoption; Perceived risk and trust are critical; Perceived risk exerts more decisive influence than trust.</w:t>
            </w:r>
          </w:p>
        </w:tc>
        <w:tc>
          <w:tcPr>
            <w:tcW w:w="2073" w:type="dxa"/>
            <w:hideMark/>
          </w:tcPr>
          <w:p w14:paraId="32D26108"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Strengths:</w:t>
            </w:r>
            <w:r w:rsidRPr="002E3ED0">
              <w:rPr>
                <w:rFonts w:ascii="Times New Roman" w:hAnsi="Times New Roman" w:cs="Times New Roman"/>
                <w:sz w:val="24"/>
                <w:szCs w:val="24"/>
              </w:rPr>
              <w:t> TAM extension; Large sample.</w:t>
            </w:r>
          </w:p>
          <w:p w14:paraId="4BE13F2E"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Vietnam-specific; Single country focus</w:t>
            </w:r>
          </w:p>
        </w:tc>
        <w:tc>
          <w:tcPr>
            <w:tcW w:w="2790" w:type="dxa"/>
            <w:hideMark/>
          </w:tcPr>
          <w:p w14:paraId="1B41A84C" w14:textId="77777777" w:rsidR="0025521E" w:rsidRPr="002E3ED0" w:rsidRDefault="0025521E" w:rsidP="00875014">
            <w:pPr>
              <w:spacing w:line="360" w:lineRule="auto"/>
              <w:ind w:left="3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Directly examines risk vs trust in mobile banking; Informs understanding of relative importance; Useful for UK comparison</w:t>
            </w:r>
          </w:p>
        </w:tc>
      </w:tr>
      <w:tr w:rsidR="0025521E" w:rsidRPr="002E3ED0" w14:paraId="102AD150" w14:textId="77777777" w:rsidTr="00255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1" w:type="dxa"/>
            <w:hideMark/>
          </w:tcPr>
          <w:p w14:paraId="3E95B7BE"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t>Wenxiang et al. (2023)</w:t>
            </w:r>
          </w:p>
        </w:tc>
        <w:tc>
          <w:tcPr>
            <w:tcW w:w="1800" w:type="dxa"/>
            <w:hideMark/>
          </w:tcPr>
          <w:p w14:paraId="10B6BD9B"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 xml:space="preserve">Investigate effect of PEU, PU, DAS on </w:t>
            </w:r>
            <w:r w:rsidRPr="002E3ED0">
              <w:rPr>
                <w:rFonts w:ascii="Times New Roman" w:hAnsi="Times New Roman" w:cs="Times New Roman"/>
                <w:sz w:val="24"/>
                <w:szCs w:val="24"/>
              </w:rPr>
              <w:lastRenderedPageBreak/>
              <w:t>adoption intention of Fintech services through FP and CT in Pakistan.</w:t>
            </w:r>
          </w:p>
        </w:tc>
        <w:tc>
          <w:tcPr>
            <w:tcW w:w="1980" w:type="dxa"/>
            <w:hideMark/>
          </w:tcPr>
          <w:p w14:paraId="4D94A505"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lastRenderedPageBreak/>
              <w:t xml:space="preserve">Quantitative; PLS-SEM; </w:t>
            </w:r>
            <w:r w:rsidRPr="002E3ED0">
              <w:rPr>
                <w:rFonts w:ascii="Times New Roman" w:hAnsi="Times New Roman" w:cs="Times New Roman"/>
                <w:sz w:val="24"/>
                <w:szCs w:val="24"/>
              </w:rPr>
              <w:lastRenderedPageBreak/>
              <w:t>N=297 banking users</w:t>
            </w:r>
          </w:p>
        </w:tc>
        <w:tc>
          <w:tcPr>
            <w:tcW w:w="2081" w:type="dxa"/>
            <w:hideMark/>
          </w:tcPr>
          <w:p w14:paraId="5A8B961E"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lastRenderedPageBreak/>
              <w:t xml:space="preserve">DAS, PEU, PU, FP, CT positively influence adoption </w:t>
            </w:r>
            <w:r w:rsidRPr="002E3ED0">
              <w:rPr>
                <w:rFonts w:ascii="Times New Roman" w:hAnsi="Times New Roman" w:cs="Times New Roman"/>
                <w:sz w:val="24"/>
                <w:szCs w:val="24"/>
              </w:rPr>
              <w:lastRenderedPageBreak/>
              <w:t>intention; DAS, PEU, PU positively affect CT; FP has an insignificant effect on CT</w:t>
            </w:r>
          </w:p>
        </w:tc>
        <w:tc>
          <w:tcPr>
            <w:tcW w:w="2073" w:type="dxa"/>
            <w:hideMark/>
          </w:tcPr>
          <w:p w14:paraId="380AECEB"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lastRenderedPageBreak/>
              <w:t>Strengths:</w:t>
            </w:r>
            <w:r w:rsidRPr="002E3ED0">
              <w:rPr>
                <w:rFonts w:ascii="Times New Roman" w:hAnsi="Times New Roman" w:cs="Times New Roman"/>
                <w:sz w:val="24"/>
                <w:szCs w:val="24"/>
              </w:rPr>
              <w:t xml:space="preserve"> TAM extension; </w:t>
            </w:r>
            <w:r w:rsidRPr="002E3ED0">
              <w:rPr>
                <w:rFonts w:ascii="Times New Roman" w:hAnsi="Times New Roman" w:cs="Times New Roman"/>
                <w:sz w:val="24"/>
                <w:szCs w:val="24"/>
              </w:rPr>
              <w:lastRenderedPageBreak/>
              <w:t>Mediation analysis.</w:t>
            </w:r>
          </w:p>
          <w:p w14:paraId="162FBC0E"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Pakistan-specific; Cross-sectional</w:t>
            </w:r>
          </w:p>
        </w:tc>
        <w:tc>
          <w:tcPr>
            <w:tcW w:w="2790" w:type="dxa"/>
            <w:hideMark/>
          </w:tcPr>
          <w:p w14:paraId="404E1FE8" w14:textId="77777777" w:rsidR="0025521E" w:rsidRPr="002E3ED0" w:rsidRDefault="0025521E" w:rsidP="00875014">
            <w:pPr>
              <w:spacing w:line="360" w:lineRule="auto"/>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lastRenderedPageBreak/>
              <w:t xml:space="preserve">Demonstrates data security-trust-adoption relationships; Informs </w:t>
            </w:r>
            <w:r w:rsidRPr="002E3ED0">
              <w:rPr>
                <w:rFonts w:ascii="Times New Roman" w:hAnsi="Times New Roman" w:cs="Times New Roman"/>
                <w:sz w:val="24"/>
                <w:szCs w:val="24"/>
              </w:rPr>
              <w:lastRenderedPageBreak/>
              <w:t>understanding of security and trust mechanisms; Useful for UK comparison</w:t>
            </w:r>
          </w:p>
        </w:tc>
      </w:tr>
      <w:tr w:rsidR="0025521E" w:rsidRPr="002E3ED0" w14:paraId="372A1994" w14:textId="77777777" w:rsidTr="0025521E">
        <w:tc>
          <w:tcPr>
            <w:cnfStyle w:val="001000000000" w:firstRow="0" w:lastRow="0" w:firstColumn="1" w:lastColumn="0" w:oddVBand="0" w:evenVBand="0" w:oddHBand="0" w:evenHBand="0" w:firstRowFirstColumn="0" w:firstRowLastColumn="0" w:lastRowFirstColumn="0" w:lastRowLastColumn="0"/>
            <w:tcW w:w="1171" w:type="dxa"/>
            <w:hideMark/>
          </w:tcPr>
          <w:p w14:paraId="55ACAF38"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lastRenderedPageBreak/>
              <w:t>Wilson &amp; Tam (2026)</w:t>
            </w:r>
          </w:p>
        </w:tc>
        <w:tc>
          <w:tcPr>
            <w:tcW w:w="1800" w:type="dxa"/>
            <w:hideMark/>
          </w:tcPr>
          <w:p w14:paraId="5CCAEA48"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Analyse security challenges in Open Banking and conceptualise tri-dimensional security framework integrating technological, regulatory, behavioural dimensions</w:t>
            </w:r>
          </w:p>
        </w:tc>
        <w:tc>
          <w:tcPr>
            <w:tcW w:w="1980" w:type="dxa"/>
            <w:hideMark/>
          </w:tcPr>
          <w:p w14:paraId="6F8ABE6B"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Systematic Literature Review; 117 studies (1999-2025); Bibliometric analysis</w:t>
            </w:r>
          </w:p>
        </w:tc>
        <w:tc>
          <w:tcPr>
            <w:tcW w:w="2081" w:type="dxa"/>
            <w:hideMark/>
          </w:tcPr>
          <w:p w14:paraId="38B80F26"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Technical safeguards necessary but insufficient without regulatory alignment and behavioural factors; Only 17.9% of studies integrate all three dimensions; Technological security dominates (58%), regulatory (44%), behavioural (42%)</w:t>
            </w:r>
          </w:p>
        </w:tc>
        <w:tc>
          <w:tcPr>
            <w:tcW w:w="2073" w:type="dxa"/>
            <w:hideMark/>
          </w:tcPr>
          <w:p w14:paraId="0829FD73"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Strengths:</w:t>
            </w:r>
            <w:r w:rsidRPr="002E3ED0">
              <w:rPr>
                <w:rFonts w:ascii="Times New Roman" w:hAnsi="Times New Roman" w:cs="Times New Roman"/>
                <w:sz w:val="24"/>
                <w:szCs w:val="24"/>
              </w:rPr>
              <w:t> Comprehensive; Tri-dimensional framework; Bibliometric analysis; Open Banking focus.</w:t>
            </w:r>
          </w:p>
          <w:p w14:paraId="4DECD3AF" w14:textId="77777777" w:rsidR="0025521E" w:rsidRPr="002E3ED0" w:rsidRDefault="0025521E" w:rsidP="0087501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Broad temporal range; Open Banking specific</w:t>
            </w:r>
          </w:p>
        </w:tc>
        <w:tc>
          <w:tcPr>
            <w:tcW w:w="2790" w:type="dxa"/>
            <w:hideMark/>
          </w:tcPr>
          <w:p w14:paraId="1181AF2D" w14:textId="77777777" w:rsidR="0025521E" w:rsidRPr="002E3ED0" w:rsidRDefault="0025521E" w:rsidP="00875014">
            <w:pPr>
              <w:spacing w:line="360" w:lineRule="auto"/>
              <w:ind w:left="3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Highly relevant: Directly addresses UK Open Banking context; Integrates technological, regulatory, behavioural dimensions; Informs comprehensive framework; Addresses security perception</w:t>
            </w:r>
          </w:p>
        </w:tc>
      </w:tr>
      <w:tr w:rsidR="0025521E" w:rsidRPr="002E3ED0" w14:paraId="2A6F3ADD" w14:textId="77777777" w:rsidTr="00255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1" w:type="dxa"/>
            <w:hideMark/>
          </w:tcPr>
          <w:p w14:paraId="65242080" w14:textId="77777777" w:rsidR="0025521E" w:rsidRPr="002E3ED0" w:rsidRDefault="0025521E" w:rsidP="00875014">
            <w:pPr>
              <w:spacing w:line="360" w:lineRule="auto"/>
              <w:rPr>
                <w:rFonts w:ascii="Times New Roman" w:hAnsi="Times New Roman" w:cs="Times New Roman"/>
                <w:sz w:val="24"/>
                <w:szCs w:val="24"/>
              </w:rPr>
            </w:pPr>
            <w:r w:rsidRPr="002E3ED0">
              <w:rPr>
                <w:rFonts w:ascii="Times New Roman" w:hAnsi="Times New Roman" w:cs="Times New Roman"/>
                <w:sz w:val="24"/>
                <w:szCs w:val="24"/>
              </w:rPr>
              <w:t>Wisedpanich &amp; Wittayakom (2026)</w:t>
            </w:r>
          </w:p>
        </w:tc>
        <w:tc>
          <w:tcPr>
            <w:tcW w:w="1800" w:type="dxa"/>
            <w:hideMark/>
          </w:tcPr>
          <w:p w14:paraId="35FFB142"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 xml:space="preserve">Synthesise evidence on behavioural foundations of virtual banking adoption focusing on trust, perceived risk, digital </w:t>
            </w:r>
            <w:r w:rsidRPr="002E3ED0">
              <w:rPr>
                <w:rFonts w:ascii="Times New Roman" w:hAnsi="Times New Roman" w:cs="Times New Roman"/>
                <w:sz w:val="24"/>
                <w:szCs w:val="24"/>
              </w:rPr>
              <w:lastRenderedPageBreak/>
              <w:t>literacy, consumer innovativeness in emerging economies</w:t>
            </w:r>
          </w:p>
        </w:tc>
        <w:tc>
          <w:tcPr>
            <w:tcW w:w="1980" w:type="dxa"/>
            <w:hideMark/>
          </w:tcPr>
          <w:p w14:paraId="2D3FF3E4"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lastRenderedPageBreak/>
              <w:t>Systematic Literature Review; PRISMA 2020; 8 studies (2020-2025); Thematic synthesis</w:t>
            </w:r>
          </w:p>
        </w:tc>
        <w:tc>
          <w:tcPr>
            <w:tcW w:w="2081" w:type="dxa"/>
            <w:hideMark/>
          </w:tcPr>
          <w:p w14:paraId="097C2D2D"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 xml:space="preserve">Trust most consistent and influential driver; Perceived risk strongest barrier; Digital literacy enhances confidence; Consumer </w:t>
            </w:r>
            <w:r w:rsidRPr="002E3ED0">
              <w:rPr>
                <w:rFonts w:ascii="Times New Roman" w:hAnsi="Times New Roman" w:cs="Times New Roman"/>
                <w:sz w:val="24"/>
                <w:szCs w:val="24"/>
              </w:rPr>
              <w:lastRenderedPageBreak/>
              <w:t>innovativeness encourages adoption contingent on institutional credibility; Proposes Behavioural Confidence Framework</w:t>
            </w:r>
          </w:p>
        </w:tc>
        <w:tc>
          <w:tcPr>
            <w:tcW w:w="2073" w:type="dxa"/>
            <w:hideMark/>
          </w:tcPr>
          <w:p w14:paraId="7BDDC56D"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lastRenderedPageBreak/>
              <w:t>Strengths:</w:t>
            </w:r>
            <w:r w:rsidRPr="002E3ED0">
              <w:rPr>
                <w:rFonts w:ascii="Times New Roman" w:hAnsi="Times New Roman" w:cs="Times New Roman"/>
                <w:sz w:val="24"/>
                <w:szCs w:val="24"/>
              </w:rPr>
              <w:t> PRISMA adherence; Thematic synthesis; Proposed framework.</w:t>
            </w:r>
          </w:p>
          <w:p w14:paraId="05EBDBA4" w14:textId="77777777" w:rsidR="0025521E" w:rsidRPr="002E3ED0" w:rsidRDefault="0025521E" w:rsidP="0087501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Limitations:</w:t>
            </w:r>
            <w:r w:rsidRPr="002E3ED0">
              <w:rPr>
                <w:rFonts w:ascii="Times New Roman" w:hAnsi="Times New Roman" w:cs="Times New Roman"/>
                <w:sz w:val="24"/>
                <w:szCs w:val="24"/>
              </w:rPr>
              <w:t xml:space="preserve"> Limited number of </w:t>
            </w:r>
            <w:r w:rsidRPr="002E3ED0">
              <w:rPr>
                <w:rFonts w:ascii="Times New Roman" w:hAnsi="Times New Roman" w:cs="Times New Roman"/>
                <w:sz w:val="24"/>
                <w:szCs w:val="24"/>
              </w:rPr>
              <w:lastRenderedPageBreak/>
              <w:t>studies; Emerging economy focus</w:t>
            </w:r>
          </w:p>
        </w:tc>
        <w:tc>
          <w:tcPr>
            <w:tcW w:w="2790" w:type="dxa"/>
            <w:hideMark/>
          </w:tcPr>
          <w:p w14:paraId="4455CB90" w14:textId="77777777" w:rsidR="0025521E" w:rsidRPr="002E3ED0" w:rsidRDefault="0025521E" w:rsidP="00875014">
            <w:pPr>
              <w:spacing w:line="360" w:lineRule="auto"/>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lastRenderedPageBreak/>
              <w:t>Highlights trust, risk, digital literacy; Informs behavioural factor analysis; Useful for understanding UK context; Framework insights</w:t>
            </w:r>
          </w:p>
        </w:tc>
      </w:tr>
    </w:tbl>
    <w:p w14:paraId="08320B2D" w14:textId="77777777" w:rsidR="00491F46" w:rsidRPr="002E3ED0" w:rsidRDefault="00491F46" w:rsidP="00875014">
      <w:pPr>
        <w:spacing w:line="360" w:lineRule="auto"/>
        <w:rPr>
          <w:rFonts w:ascii="Times New Roman" w:hAnsi="Times New Roman" w:cs="Times New Roman"/>
          <w:sz w:val="24"/>
          <w:szCs w:val="24"/>
        </w:rPr>
      </w:pPr>
    </w:p>
    <w:p w14:paraId="02E37D7E" w14:textId="77777777" w:rsidR="00491F46" w:rsidRPr="002E3ED0" w:rsidRDefault="00491F46">
      <w:pPr>
        <w:spacing w:after="160" w:line="259" w:lineRule="auto"/>
        <w:rPr>
          <w:rFonts w:ascii="Times New Roman" w:hAnsi="Times New Roman" w:cs="Times New Roman"/>
          <w:sz w:val="24"/>
          <w:szCs w:val="24"/>
        </w:rPr>
      </w:pPr>
      <w:r w:rsidRPr="002E3ED0">
        <w:rPr>
          <w:rFonts w:ascii="Times New Roman" w:hAnsi="Times New Roman" w:cs="Times New Roman"/>
          <w:sz w:val="24"/>
          <w:szCs w:val="24"/>
        </w:rPr>
        <w:br w:type="page"/>
      </w:r>
    </w:p>
    <w:p w14:paraId="5B040A03" w14:textId="5FF99565" w:rsidR="002E3ED0" w:rsidRPr="002E3ED0" w:rsidRDefault="002E3ED0" w:rsidP="00BC0071">
      <w:pPr>
        <w:pStyle w:val="Heading2"/>
      </w:pPr>
      <w:bookmarkStart w:id="71" w:name="_Toc238751519"/>
      <w:r w:rsidRPr="002E3ED0">
        <w:lastRenderedPageBreak/>
        <w:t>Appendix B: Table 2: CASP Tool</w:t>
      </w:r>
      <w:bookmarkEnd w:id="71"/>
    </w:p>
    <w:tbl>
      <w:tblPr>
        <w:tblStyle w:val="GridTable4-Accent1"/>
        <w:tblW w:w="0" w:type="auto"/>
        <w:tblLook w:val="04A0" w:firstRow="1" w:lastRow="0" w:firstColumn="1" w:lastColumn="0" w:noHBand="0" w:noVBand="1"/>
      </w:tblPr>
      <w:tblGrid>
        <w:gridCol w:w="456"/>
        <w:gridCol w:w="2024"/>
        <w:gridCol w:w="2279"/>
        <w:gridCol w:w="1476"/>
        <w:gridCol w:w="1093"/>
        <w:gridCol w:w="2022"/>
      </w:tblGrid>
      <w:tr w:rsidR="002E3ED0" w:rsidRPr="002E3ED0" w14:paraId="4F75DA3C" w14:textId="77777777" w:rsidTr="002E3ED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9311CD" w14:textId="77777777" w:rsidR="002E3ED0" w:rsidRPr="002E3ED0" w:rsidRDefault="002E3ED0">
            <w:pPr>
              <w:spacing w:line="375" w:lineRule="atLeast"/>
              <w:rPr>
                <w:rFonts w:ascii="Times New Roman" w:hAnsi="Times New Roman" w:cs="Times New Roman"/>
                <w:color w:val="auto"/>
                <w:sz w:val="24"/>
                <w:szCs w:val="24"/>
              </w:rPr>
            </w:pPr>
            <w:r w:rsidRPr="002E3ED0">
              <w:rPr>
                <w:rFonts w:ascii="Times New Roman" w:hAnsi="Times New Roman" w:cs="Times New Roman"/>
                <w:sz w:val="24"/>
                <w:szCs w:val="24"/>
              </w:rPr>
              <w:t>#</w:t>
            </w:r>
          </w:p>
        </w:tc>
        <w:tc>
          <w:tcPr>
            <w:tcW w:w="0" w:type="auto"/>
            <w:hideMark/>
          </w:tcPr>
          <w:p w14:paraId="091EA970" w14:textId="77777777" w:rsidR="002E3ED0" w:rsidRPr="002E3ED0" w:rsidRDefault="002E3ED0">
            <w:pPr>
              <w:spacing w:line="375" w:lineRule="atLeast"/>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Author(s) &amp; Year</w:t>
            </w:r>
          </w:p>
        </w:tc>
        <w:tc>
          <w:tcPr>
            <w:tcW w:w="0" w:type="auto"/>
            <w:hideMark/>
          </w:tcPr>
          <w:p w14:paraId="7856D77F" w14:textId="77777777" w:rsidR="002E3ED0" w:rsidRPr="002E3ED0" w:rsidRDefault="002E3ED0">
            <w:pPr>
              <w:spacing w:line="375" w:lineRule="atLeast"/>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Study Design</w:t>
            </w:r>
          </w:p>
        </w:tc>
        <w:tc>
          <w:tcPr>
            <w:tcW w:w="0" w:type="auto"/>
            <w:hideMark/>
          </w:tcPr>
          <w:p w14:paraId="36960A9D" w14:textId="77777777" w:rsidR="002E3ED0" w:rsidRPr="002E3ED0" w:rsidRDefault="002E3ED0">
            <w:pPr>
              <w:spacing w:line="375" w:lineRule="atLeast"/>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Assessment Tool</w:t>
            </w:r>
          </w:p>
        </w:tc>
        <w:tc>
          <w:tcPr>
            <w:tcW w:w="0" w:type="auto"/>
            <w:hideMark/>
          </w:tcPr>
          <w:p w14:paraId="3521FD08" w14:textId="77777777" w:rsidR="002E3ED0" w:rsidRPr="002E3ED0" w:rsidRDefault="002E3ED0">
            <w:pPr>
              <w:spacing w:line="375" w:lineRule="atLeast"/>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Quality Score</w:t>
            </w:r>
          </w:p>
        </w:tc>
        <w:tc>
          <w:tcPr>
            <w:tcW w:w="0" w:type="auto"/>
            <w:hideMark/>
          </w:tcPr>
          <w:p w14:paraId="73F4E722" w14:textId="77777777" w:rsidR="002E3ED0" w:rsidRPr="002E3ED0" w:rsidRDefault="002E3ED0">
            <w:pPr>
              <w:spacing w:line="375" w:lineRule="atLeast"/>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Rating</w:t>
            </w:r>
          </w:p>
        </w:tc>
      </w:tr>
      <w:tr w:rsidR="002E3ED0" w:rsidRPr="002E3ED0" w14:paraId="68747F6C" w14:textId="77777777" w:rsidTr="002E3E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4208A9" w14:textId="77777777" w:rsidR="002E3ED0" w:rsidRPr="002E3ED0" w:rsidRDefault="002E3ED0">
            <w:pPr>
              <w:spacing w:line="375" w:lineRule="atLeast"/>
              <w:rPr>
                <w:rFonts w:ascii="Times New Roman" w:hAnsi="Times New Roman" w:cs="Times New Roman"/>
                <w:sz w:val="24"/>
                <w:szCs w:val="24"/>
              </w:rPr>
            </w:pPr>
            <w:r w:rsidRPr="002E3ED0">
              <w:rPr>
                <w:rFonts w:ascii="Times New Roman" w:hAnsi="Times New Roman" w:cs="Times New Roman"/>
                <w:sz w:val="24"/>
                <w:szCs w:val="24"/>
              </w:rPr>
              <w:t>1</w:t>
            </w:r>
          </w:p>
        </w:tc>
        <w:tc>
          <w:tcPr>
            <w:tcW w:w="0" w:type="auto"/>
            <w:hideMark/>
          </w:tcPr>
          <w:p w14:paraId="3B532592"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Al-Qudah et al. (2024)</w:t>
            </w:r>
          </w:p>
        </w:tc>
        <w:tc>
          <w:tcPr>
            <w:tcW w:w="0" w:type="auto"/>
            <w:hideMark/>
          </w:tcPr>
          <w:p w14:paraId="7FD51459"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(Survey)</w:t>
            </w:r>
          </w:p>
        </w:tc>
        <w:tc>
          <w:tcPr>
            <w:tcW w:w="0" w:type="auto"/>
            <w:hideMark/>
          </w:tcPr>
          <w:p w14:paraId="2C7A9105"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CASP (2020)</w:t>
            </w:r>
          </w:p>
        </w:tc>
        <w:tc>
          <w:tcPr>
            <w:tcW w:w="0" w:type="auto"/>
            <w:hideMark/>
          </w:tcPr>
          <w:p w14:paraId="751A3BDD"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8.5/10</w:t>
            </w:r>
          </w:p>
        </w:tc>
        <w:tc>
          <w:tcPr>
            <w:tcW w:w="0" w:type="auto"/>
            <w:hideMark/>
          </w:tcPr>
          <w:p w14:paraId="0A777F54"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Segoe UI Emoji" w:hAnsi="Segoe UI Emoji" w:cs="Segoe UI Emoji"/>
                <w:sz w:val="24"/>
                <w:szCs w:val="24"/>
              </w:rPr>
              <w:t>⭐⭐⭐⭐⭐</w:t>
            </w:r>
            <w:r w:rsidRPr="002E3ED0">
              <w:rPr>
                <w:rFonts w:ascii="Times New Roman" w:hAnsi="Times New Roman" w:cs="Times New Roman"/>
                <w:sz w:val="24"/>
                <w:szCs w:val="24"/>
              </w:rPr>
              <w:t xml:space="preserve"> High</w:t>
            </w:r>
          </w:p>
        </w:tc>
      </w:tr>
      <w:tr w:rsidR="002E3ED0" w:rsidRPr="002E3ED0" w14:paraId="5700DCE5" w14:textId="77777777" w:rsidTr="002E3ED0">
        <w:tc>
          <w:tcPr>
            <w:cnfStyle w:val="001000000000" w:firstRow="0" w:lastRow="0" w:firstColumn="1" w:lastColumn="0" w:oddVBand="0" w:evenVBand="0" w:oddHBand="0" w:evenHBand="0" w:firstRowFirstColumn="0" w:firstRowLastColumn="0" w:lastRowFirstColumn="0" w:lastRowLastColumn="0"/>
            <w:tcW w:w="0" w:type="auto"/>
            <w:hideMark/>
          </w:tcPr>
          <w:p w14:paraId="58494480" w14:textId="77777777" w:rsidR="002E3ED0" w:rsidRPr="002E3ED0" w:rsidRDefault="002E3ED0">
            <w:pPr>
              <w:spacing w:line="375" w:lineRule="atLeast"/>
              <w:rPr>
                <w:rFonts w:ascii="Times New Roman" w:hAnsi="Times New Roman" w:cs="Times New Roman"/>
                <w:sz w:val="24"/>
                <w:szCs w:val="24"/>
              </w:rPr>
            </w:pPr>
            <w:r w:rsidRPr="002E3ED0">
              <w:rPr>
                <w:rFonts w:ascii="Times New Roman" w:hAnsi="Times New Roman" w:cs="Times New Roman"/>
                <w:sz w:val="24"/>
                <w:szCs w:val="24"/>
              </w:rPr>
              <w:t>2</w:t>
            </w:r>
          </w:p>
        </w:tc>
        <w:tc>
          <w:tcPr>
            <w:tcW w:w="0" w:type="auto"/>
            <w:hideMark/>
          </w:tcPr>
          <w:p w14:paraId="0DD5BC6B"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Aldboush &amp; Ferdous (2023)</w:t>
            </w:r>
          </w:p>
        </w:tc>
        <w:tc>
          <w:tcPr>
            <w:tcW w:w="0" w:type="auto"/>
            <w:hideMark/>
          </w:tcPr>
          <w:p w14:paraId="5BAA0726"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Conceptual/Review</w:t>
            </w:r>
          </w:p>
        </w:tc>
        <w:tc>
          <w:tcPr>
            <w:tcW w:w="0" w:type="auto"/>
            <w:hideMark/>
          </w:tcPr>
          <w:p w14:paraId="24E11213"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CASP (2020)</w:t>
            </w:r>
          </w:p>
        </w:tc>
        <w:tc>
          <w:tcPr>
            <w:tcW w:w="0" w:type="auto"/>
            <w:hideMark/>
          </w:tcPr>
          <w:p w14:paraId="697F3180"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8.0/10</w:t>
            </w:r>
          </w:p>
        </w:tc>
        <w:tc>
          <w:tcPr>
            <w:tcW w:w="0" w:type="auto"/>
            <w:hideMark/>
          </w:tcPr>
          <w:p w14:paraId="4F9AEA18"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Segoe UI Emoji" w:hAnsi="Segoe UI Emoji" w:cs="Segoe UI Emoji"/>
                <w:sz w:val="24"/>
                <w:szCs w:val="24"/>
              </w:rPr>
              <w:t>⭐⭐⭐⭐</w:t>
            </w:r>
            <w:r w:rsidRPr="002E3ED0">
              <w:rPr>
                <w:rFonts w:ascii="Times New Roman" w:hAnsi="Times New Roman" w:cs="Times New Roman"/>
                <w:sz w:val="24"/>
                <w:szCs w:val="24"/>
              </w:rPr>
              <w:t xml:space="preserve"> High</w:t>
            </w:r>
          </w:p>
        </w:tc>
      </w:tr>
      <w:tr w:rsidR="002E3ED0" w:rsidRPr="002E3ED0" w14:paraId="42DDAF39" w14:textId="77777777" w:rsidTr="002E3E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272677" w14:textId="77777777" w:rsidR="002E3ED0" w:rsidRPr="002E3ED0" w:rsidRDefault="002E3ED0">
            <w:pPr>
              <w:spacing w:line="375" w:lineRule="atLeast"/>
              <w:rPr>
                <w:rFonts w:ascii="Times New Roman" w:hAnsi="Times New Roman" w:cs="Times New Roman"/>
                <w:sz w:val="24"/>
                <w:szCs w:val="24"/>
              </w:rPr>
            </w:pPr>
            <w:r w:rsidRPr="002E3ED0">
              <w:rPr>
                <w:rFonts w:ascii="Times New Roman" w:hAnsi="Times New Roman" w:cs="Times New Roman"/>
                <w:sz w:val="24"/>
                <w:szCs w:val="24"/>
              </w:rPr>
              <w:t>3</w:t>
            </w:r>
          </w:p>
        </w:tc>
        <w:tc>
          <w:tcPr>
            <w:tcW w:w="0" w:type="auto"/>
            <w:hideMark/>
          </w:tcPr>
          <w:p w14:paraId="13FB84F1"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Ali et al. (2023)</w:t>
            </w:r>
          </w:p>
        </w:tc>
        <w:tc>
          <w:tcPr>
            <w:tcW w:w="0" w:type="auto"/>
            <w:hideMark/>
          </w:tcPr>
          <w:p w14:paraId="3327BFA2"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(Survey)</w:t>
            </w:r>
          </w:p>
        </w:tc>
        <w:tc>
          <w:tcPr>
            <w:tcW w:w="0" w:type="auto"/>
            <w:hideMark/>
          </w:tcPr>
          <w:p w14:paraId="16EF7887"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CASP (2020)</w:t>
            </w:r>
          </w:p>
        </w:tc>
        <w:tc>
          <w:tcPr>
            <w:tcW w:w="0" w:type="auto"/>
            <w:hideMark/>
          </w:tcPr>
          <w:p w14:paraId="7BEFA23D"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8.5/10</w:t>
            </w:r>
          </w:p>
        </w:tc>
        <w:tc>
          <w:tcPr>
            <w:tcW w:w="0" w:type="auto"/>
            <w:hideMark/>
          </w:tcPr>
          <w:p w14:paraId="332FFE24"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Segoe UI Emoji" w:hAnsi="Segoe UI Emoji" w:cs="Segoe UI Emoji"/>
                <w:sz w:val="24"/>
                <w:szCs w:val="24"/>
              </w:rPr>
              <w:t>⭐⭐⭐⭐⭐</w:t>
            </w:r>
            <w:r w:rsidRPr="002E3ED0">
              <w:rPr>
                <w:rFonts w:ascii="Times New Roman" w:hAnsi="Times New Roman" w:cs="Times New Roman"/>
                <w:sz w:val="24"/>
                <w:szCs w:val="24"/>
              </w:rPr>
              <w:t xml:space="preserve"> High</w:t>
            </w:r>
          </w:p>
        </w:tc>
      </w:tr>
      <w:tr w:rsidR="002E3ED0" w:rsidRPr="002E3ED0" w14:paraId="64A944DA" w14:textId="77777777" w:rsidTr="002E3ED0">
        <w:tc>
          <w:tcPr>
            <w:cnfStyle w:val="001000000000" w:firstRow="0" w:lastRow="0" w:firstColumn="1" w:lastColumn="0" w:oddVBand="0" w:evenVBand="0" w:oddHBand="0" w:evenHBand="0" w:firstRowFirstColumn="0" w:firstRowLastColumn="0" w:lastRowFirstColumn="0" w:lastRowLastColumn="0"/>
            <w:tcW w:w="0" w:type="auto"/>
            <w:hideMark/>
          </w:tcPr>
          <w:p w14:paraId="4D97EACF" w14:textId="77777777" w:rsidR="002E3ED0" w:rsidRPr="002E3ED0" w:rsidRDefault="002E3ED0">
            <w:pPr>
              <w:spacing w:line="375" w:lineRule="atLeast"/>
              <w:rPr>
                <w:rFonts w:ascii="Times New Roman" w:hAnsi="Times New Roman" w:cs="Times New Roman"/>
                <w:sz w:val="24"/>
                <w:szCs w:val="24"/>
              </w:rPr>
            </w:pPr>
            <w:r w:rsidRPr="002E3ED0">
              <w:rPr>
                <w:rFonts w:ascii="Times New Roman" w:hAnsi="Times New Roman" w:cs="Times New Roman"/>
                <w:sz w:val="24"/>
                <w:szCs w:val="24"/>
              </w:rPr>
              <w:t>4</w:t>
            </w:r>
          </w:p>
        </w:tc>
        <w:tc>
          <w:tcPr>
            <w:tcW w:w="0" w:type="auto"/>
            <w:hideMark/>
          </w:tcPr>
          <w:p w14:paraId="5817DD84"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Amnas et al. (2023)</w:t>
            </w:r>
          </w:p>
        </w:tc>
        <w:tc>
          <w:tcPr>
            <w:tcW w:w="0" w:type="auto"/>
            <w:hideMark/>
          </w:tcPr>
          <w:p w14:paraId="2699F463"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(Survey)</w:t>
            </w:r>
          </w:p>
        </w:tc>
        <w:tc>
          <w:tcPr>
            <w:tcW w:w="0" w:type="auto"/>
            <w:hideMark/>
          </w:tcPr>
          <w:p w14:paraId="7B412EDC"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CASP (2020)</w:t>
            </w:r>
          </w:p>
        </w:tc>
        <w:tc>
          <w:tcPr>
            <w:tcW w:w="0" w:type="auto"/>
            <w:hideMark/>
          </w:tcPr>
          <w:p w14:paraId="0EAFB745"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8.5/10</w:t>
            </w:r>
          </w:p>
        </w:tc>
        <w:tc>
          <w:tcPr>
            <w:tcW w:w="0" w:type="auto"/>
            <w:hideMark/>
          </w:tcPr>
          <w:p w14:paraId="06168399"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Segoe UI Emoji" w:hAnsi="Segoe UI Emoji" w:cs="Segoe UI Emoji"/>
                <w:sz w:val="24"/>
                <w:szCs w:val="24"/>
              </w:rPr>
              <w:t>⭐⭐⭐⭐⭐</w:t>
            </w:r>
            <w:r w:rsidRPr="002E3ED0">
              <w:rPr>
                <w:rFonts w:ascii="Times New Roman" w:hAnsi="Times New Roman" w:cs="Times New Roman"/>
                <w:sz w:val="24"/>
                <w:szCs w:val="24"/>
              </w:rPr>
              <w:t xml:space="preserve"> High</w:t>
            </w:r>
          </w:p>
        </w:tc>
      </w:tr>
      <w:tr w:rsidR="002E3ED0" w:rsidRPr="002E3ED0" w14:paraId="68F3F7B0" w14:textId="77777777" w:rsidTr="002E3E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C34A0B" w14:textId="77777777" w:rsidR="002E3ED0" w:rsidRPr="002E3ED0" w:rsidRDefault="002E3ED0">
            <w:pPr>
              <w:spacing w:line="375" w:lineRule="atLeast"/>
              <w:rPr>
                <w:rFonts w:ascii="Times New Roman" w:hAnsi="Times New Roman" w:cs="Times New Roman"/>
                <w:sz w:val="24"/>
                <w:szCs w:val="24"/>
              </w:rPr>
            </w:pPr>
            <w:r w:rsidRPr="002E3ED0">
              <w:rPr>
                <w:rFonts w:ascii="Times New Roman" w:hAnsi="Times New Roman" w:cs="Times New Roman"/>
                <w:sz w:val="24"/>
                <w:szCs w:val="24"/>
              </w:rPr>
              <w:t>5</w:t>
            </w:r>
          </w:p>
        </w:tc>
        <w:tc>
          <w:tcPr>
            <w:tcW w:w="0" w:type="auto"/>
            <w:hideMark/>
          </w:tcPr>
          <w:p w14:paraId="7AFC6295"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Apaua &amp; Lallie (2022)</w:t>
            </w:r>
          </w:p>
        </w:tc>
        <w:tc>
          <w:tcPr>
            <w:tcW w:w="0" w:type="auto"/>
            <w:hideMark/>
          </w:tcPr>
          <w:p w14:paraId="3F5EDF1F"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(Survey)</w:t>
            </w:r>
          </w:p>
        </w:tc>
        <w:tc>
          <w:tcPr>
            <w:tcW w:w="0" w:type="auto"/>
            <w:hideMark/>
          </w:tcPr>
          <w:p w14:paraId="35A27ECE"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CASP (2020)</w:t>
            </w:r>
          </w:p>
        </w:tc>
        <w:tc>
          <w:tcPr>
            <w:tcW w:w="0" w:type="auto"/>
            <w:hideMark/>
          </w:tcPr>
          <w:p w14:paraId="35E776CF"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8.5/10</w:t>
            </w:r>
          </w:p>
        </w:tc>
        <w:tc>
          <w:tcPr>
            <w:tcW w:w="0" w:type="auto"/>
            <w:hideMark/>
          </w:tcPr>
          <w:p w14:paraId="0BC5B21A"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Segoe UI Emoji" w:hAnsi="Segoe UI Emoji" w:cs="Segoe UI Emoji"/>
                <w:sz w:val="24"/>
                <w:szCs w:val="24"/>
              </w:rPr>
              <w:t>⭐⭐⭐⭐⭐</w:t>
            </w:r>
            <w:r w:rsidRPr="002E3ED0">
              <w:rPr>
                <w:rFonts w:ascii="Times New Roman" w:hAnsi="Times New Roman" w:cs="Times New Roman"/>
                <w:sz w:val="24"/>
                <w:szCs w:val="24"/>
              </w:rPr>
              <w:t xml:space="preserve"> High</w:t>
            </w:r>
          </w:p>
        </w:tc>
      </w:tr>
      <w:tr w:rsidR="002E3ED0" w:rsidRPr="002E3ED0" w14:paraId="22823BD7" w14:textId="77777777" w:rsidTr="002E3ED0">
        <w:tc>
          <w:tcPr>
            <w:cnfStyle w:val="001000000000" w:firstRow="0" w:lastRow="0" w:firstColumn="1" w:lastColumn="0" w:oddVBand="0" w:evenVBand="0" w:oddHBand="0" w:evenHBand="0" w:firstRowFirstColumn="0" w:firstRowLastColumn="0" w:lastRowFirstColumn="0" w:lastRowLastColumn="0"/>
            <w:tcW w:w="0" w:type="auto"/>
            <w:hideMark/>
          </w:tcPr>
          <w:p w14:paraId="7271FF30" w14:textId="77777777" w:rsidR="002E3ED0" w:rsidRPr="002E3ED0" w:rsidRDefault="002E3ED0">
            <w:pPr>
              <w:spacing w:line="375" w:lineRule="atLeast"/>
              <w:rPr>
                <w:rFonts w:ascii="Times New Roman" w:hAnsi="Times New Roman" w:cs="Times New Roman"/>
                <w:sz w:val="24"/>
                <w:szCs w:val="24"/>
              </w:rPr>
            </w:pPr>
            <w:r w:rsidRPr="002E3ED0">
              <w:rPr>
                <w:rFonts w:ascii="Times New Roman" w:hAnsi="Times New Roman" w:cs="Times New Roman"/>
                <w:sz w:val="24"/>
                <w:szCs w:val="24"/>
              </w:rPr>
              <w:t>6</w:t>
            </w:r>
          </w:p>
        </w:tc>
        <w:tc>
          <w:tcPr>
            <w:tcW w:w="0" w:type="auto"/>
            <w:hideMark/>
          </w:tcPr>
          <w:p w14:paraId="1A57D5FE"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Apau, Titis &amp; Lallie (2025)</w:t>
            </w:r>
          </w:p>
        </w:tc>
        <w:tc>
          <w:tcPr>
            <w:tcW w:w="0" w:type="auto"/>
            <w:hideMark/>
          </w:tcPr>
          <w:p w14:paraId="36B926FF"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(Survey)</w:t>
            </w:r>
          </w:p>
        </w:tc>
        <w:tc>
          <w:tcPr>
            <w:tcW w:w="0" w:type="auto"/>
            <w:hideMark/>
          </w:tcPr>
          <w:p w14:paraId="7819E78A"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CASP (2020)</w:t>
            </w:r>
          </w:p>
        </w:tc>
        <w:tc>
          <w:tcPr>
            <w:tcW w:w="0" w:type="auto"/>
            <w:hideMark/>
          </w:tcPr>
          <w:p w14:paraId="14D49059"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8.5/10</w:t>
            </w:r>
          </w:p>
        </w:tc>
        <w:tc>
          <w:tcPr>
            <w:tcW w:w="0" w:type="auto"/>
            <w:hideMark/>
          </w:tcPr>
          <w:p w14:paraId="39B25982"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Segoe UI Emoji" w:hAnsi="Segoe UI Emoji" w:cs="Segoe UI Emoji"/>
                <w:sz w:val="24"/>
                <w:szCs w:val="24"/>
              </w:rPr>
              <w:t>⭐⭐⭐⭐⭐</w:t>
            </w:r>
            <w:r w:rsidRPr="002E3ED0">
              <w:rPr>
                <w:rFonts w:ascii="Times New Roman" w:hAnsi="Times New Roman" w:cs="Times New Roman"/>
                <w:sz w:val="24"/>
                <w:szCs w:val="24"/>
              </w:rPr>
              <w:t xml:space="preserve"> High</w:t>
            </w:r>
          </w:p>
        </w:tc>
      </w:tr>
      <w:tr w:rsidR="002E3ED0" w:rsidRPr="002E3ED0" w14:paraId="502E33DC" w14:textId="77777777" w:rsidTr="002E3E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3E73D4" w14:textId="77777777" w:rsidR="002E3ED0" w:rsidRPr="002E3ED0" w:rsidRDefault="002E3ED0">
            <w:pPr>
              <w:spacing w:line="375" w:lineRule="atLeast"/>
              <w:rPr>
                <w:rFonts w:ascii="Times New Roman" w:hAnsi="Times New Roman" w:cs="Times New Roman"/>
                <w:sz w:val="24"/>
                <w:szCs w:val="24"/>
              </w:rPr>
            </w:pPr>
            <w:r w:rsidRPr="002E3ED0">
              <w:rPr>
                <w:rFonts w:ascii="Times New Roman" w:hAnsi="Times New Roman" w:cs="Times New Roman"/>
                <w:sz w:val="24"/>
                <w:szCs w:val="24"/>
              </w:rPr>
              <w:t>7</w:t>
            </w:r>
          </w:p>
        </w:tc>
        <w:tc>
          <w:tcPr>
            <w:tcW w:w="0" w:type="auto"/>
            <w:hideMark/>
          </w:tcPr>
          <w:p w14:paraId="6BEE8C37"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Barjaktarovic Rakocevic et al. (2025)</w:t>
            </w:r>
          </w:p>
        </w:tc>
        <w:tc>
          <w:tcPr>
            <w:tcW w:w="0" w:type="auto"/>
            <w:hideMark/>
          </w:tcPr>
          <w:p w14:paraId="39861217"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(Survey)</w:t>
            </w:r>
          </w:p>
        </w:tc>
        <w:tc>
          <w:tcPr>
            <w:tcW w:w="0" w:type="auto"/>
            <w:hideMark/>
          </w:tcPr>
          <w:p w14:paraId="6770DCC9"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CASP (2020)</w:t>
            </w:r>
          </w:p>
        </w:tc>
        <w:tc>
          <w:tcPr>
            <w:tcW w:w="0" w:type="auto"/>
            <w:hideMark/>
          </w:tcPr>
          <w:p w14:paraId="6FD30274"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8.5/10</w:t>
            </w:r>
          </w:p>
        </w:tc>
        <w:tc>
          <w:tcPr>
            <w:tcW w:w="0" w:type="auto"/>
            <w:hideMark/>
          </w:tcPr>
          <w:p w14:paraId="0D120A83"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Segoe UI Emoji" w:hAnsi="Segoe UI Emoji" w:cs="Segoe UI Emoji"/>
                <w:sz w:val="24"/>
                <w:szCs w:val="24"/>
              </w:rPr>
              <w:t>⭐⭐⭐⭐⭐</w:t>
            </w:r>
            <w:r w:rsidRPr="002E3ED0">
              <w:rPr>
                <w:rFonts w:ascii="Times New Roman" w:hAnsi="Times New Roman" w:cs="Times New Roman"/>
                <w:sz w:val="24"/>
                <w:szCs w:val="24"/>
              </w:rPr>
              <w:t xml:space="preserve"> High</w:t>
            </w:r>
          </w:p>
        </w:tc>
      </w:tr>
      <w:tr w:rsidR="002E3ED0" w:rsidRPr="002E3ED0" w14:paraId="585D3FAF" w14:textId="77777777" w:rsidTr="002E3ED0">
        <w:tc>
          <w:tcPr>
            <w:cnfStyle w:val="001000000000" w:firstRow="0" w:lastRow="0" w:firstColumn="1" w:lastColumn="0" w:oddVBand="0" w:evenVBand="0" w:oddHBand="0" w:evenHBand="0" w:firstRowFirstColumn="0" w:firstRowLastColumn="0" w:lastRowFirstColumn="0" w:lastRowLastColumn="0"/>
            <w:tcW w:w="0" w:type="auto"/>
            <w:hideMark/>
          </w:tcPr>
          <w:p w14:paraId="178862F4" w14:textId="77777777" w:rsidR="002E3ED0" w:rsidRPr="002E3ED0" w:rsidRDefault="002E3ED0">
            <w:pPr>
              <w:spacing w:line="375" w:lineRule="atLeast"/>
              <w:rPr>
                <w:rFonts w:ascii="Times New Roman" w:hAnsi="Times New Roman" w:cs="Times New Roman"/>
                <w:sz w:val="24"/>
                <w:szCs w:val="24"/>
              </w:rPr>
            </w:pPr>
            <w:r w:rsidRPr="002E3ED0">
              <w:rPr>
                <w:rFonts w:ascii="Times New Roman" w:hAnsi="Times New Roman" w:cs="Times New Roman"/>
                <w:sz w:val="24"/>
                <w:szCs w:val="24"/>
              </w:rPr>
              <w:t>8</w:t>
            </w:r>
          </w:p>
        </w:tc>
        <w:tc>
          <w:tcPr>
            <w:tcW w:w="0" w:type="auto"/>
            <w:hideMark/>
          </w:tcPr>
          <w:p w14:paraId="6648F0EC"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Bhat, Islam &amp; Mir (2024)</w:t>
            </w:r>
          </w:p>
        </w:tc>
        <w:tc>
          <w:tcPr>
            <w:tcW w:w="0" w:type="auto"/>
            <w:hideMark/>
          </w:tcPr>
          <w:p w14:paraId="174F761D"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(Survey)</w:t>
            </w:r>
          </w:p>
        </w:tc>
        <w:tc>
          <w:tcPr>
            <w:tcW w:w="0" w:type="auto"/>
            <w:hideMark/>
          </w:tcPr>
          <w:p w14:paraId="5E72EAFC"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CASP (2020)</w:t>
            </w:r>
          </w:p>
        </w:tc>
        <w:tc>
          <w:tcPr>
            <w:tcW w:w="0" w:type="auto"/>
            <w:hideMark/>
          </w:tcPr>
          <w:p w14:paraId="79ADA514"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8.5/10</w:t>
            </w:r>
          </w:p>
        </w:tc>
        <w:tc>
          <w:tcPr>
            <w:tcW w:w="0" w:type="auto"/>
            <w:hideMark/>
          </w:tcPr>
          <w:p w14:paraId="15A2E0D0"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Segoe UI Emoji" w:hAnsi="Segoe UI Emoji" w:cs="Segoe UI Emoji"/>
                <w:sz w:val="24"/>
                <w:szCs w:val="24"/>
              </w:rPr>
              <w:t>⭐⭐⭐⭐⭐</w:t>
            </w:r>
            <w:r w:rsidRPr="002E3ED0">
              <w:rPr>
                <w:rFonts w:ascii="Times New Roman" w:hAnsi="Times New Roman" w:cs="Times New Roman"/>
                <w:sz w:val="24"/>
                <w:szCs w:val="24"/>
              </w:rPr>
              <w:t xml:space="preserve"> High</w:t>
            </w:r>
          </w:p>
        </w:tc>
      </w:tr>
      <w:tr w:rsidR="002E3ED0" w:rsidRPr="002E3ED0" w14:paraId="3561B1BF" w14:textId="77777777" w:rsidTr="002E3E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61075A" w14:textId="77777777" w:rsidR="002E3ED0" w:rsidRPr="002E3ED0" w:rsidRDefault="002E3ED0">
            <w:pPr>
              <w:spacing w:line="375" w:lineRule="atLeast"/>
              <w:rPr>
                <w:rFonts w:ascii="Times New Roman" w:hAnsi="Times New Roman" w:cs="Times New Roman"/>
                <w:sz w:val="24"/>
                <w:szCs w:val="24"/>
              </w:rPr>
            </w:pPr>
            <w:r w:rsidRPr="002E3ED0">
              <w:rPr>
                <w:rFonts w:ascii="Times New Roman" w:hAnsi="Times New Roman" w:cs="Times New Roman"/>
                <w:sz w:val="24"/>
                <w:szCs w:val="24"/>
              </w:rPr>
              <w:t>9</w:t>
            </w:r>
          </w:p>
        </w:tc>
        <w:tc>
          <w:tcPr>
            <w:tcW w:w="0" w:type="auto"/>
            <w:hideMark/>
          </w:tcPr>
          <w:p w14:paraId="0163B4F5"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Braithwaite (2024)</w:t>
            </w:r>
          </w:p>
        </w:tc>
        <w:tc>
          <w:tcPr>
            <w:tcW w:w="0" w:type="auto"/>
            <w:hideMark/>
          </w:tcPr>
          <w:p w14:paraId="6921C363"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Legal/Policy Analysis</w:t>
            </w:r>
          </w:p>
        </w:tc>
        <w:tc>
          <w:tcPr>
            <w:tcW w:w="0" w:type="auto"/>
            <w:hideMark/>
          </w:tcPr>
          <w:p w14:paraId="4F51A97F"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CASP (2020)</w:t>
            </w:r>
          </w:p>
        </w:tc>
        <w:tc>
          <w:tcPr>
            <w:tcW w:w="0" w:type="auto"/>
            <w:hideMark/>
          </w:tcPr>
          <w:p w14:paraId="0AE04E19"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9.0/10</w:t>
            </w:r>
          </w:p>
        </w:tc>
        <w:tc>
          <w:tcPr>
            <w:tcW w:w="0" w:type="auto"/>
            <w:hideMark/>
          </w:tcPr>
          <w:p w14:paraId="5A20CA34"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Segoe UI Emoji" w:hAnsi="Segoe UI Emoji" w:cs="Segoe UI Emoji"/>
                <w:sz w:val="24"/>
                <w:szCs w:val="24"/>
              </w:rPr>
              <w:t>⭐⭐⭐⭐⭐</w:t>
            </w:r>
            <w:r w:rsidRPr="002E3ED0">
              <w:rPr>
                <w:rFonts w:ascii="Times New Roman" w:hAnsi="Times New Roman" w:cs="Times New Roman"/>
                <w:sz w:val="24"/>
                <w:szCs w:val="24"/>
              </w:rPr>
              <w:t xml:space="preserve"> Excellent</w:t>
            </w:r>
          </w:p>
        </w:tc>
      </w:tr>
      <w:tr w:rsidR="002E3ED0" w:rsidRPr="002E3ED0" w14:paraId="6732F358" w14:textId="77777777" w:rsidTr="002E3ED0">
        <w:tc>
          <w:tcPr>
            <w:cnfStyle w:val="001000000000" w:firstRow="0" w:lastRow="0" w:firstColumn="1" w:lastColumn="0" w:oddVBand="0" w:evenVBand="0" w:oddHBand="0" w:evenHBand="0" w:firstRowFirstColumn="0" w:firstRowLastColumn="0" w:lastRowFirstColumn="0" w:lastRowLastColumn="0"/>
            <w:tcW w:w="0" w:type="auto"/>
            <w:hideMark/>
          </w:tcPr>
          <w:p w14:paraId="7FECC2DA" w14:textId="77777777" w:rsidR="002E3ED0" w:rsidRPr="002E3ED0" w:rsidRDefault="002E3ED0">
            <w:pPr>
              <w:spacing w:line="375" w:lineRule="atLeast"/>
              <w:rPr>
                <w:rFonts w:ascii="Times New Roman" w:hAnsi="Times New Roman" w:cs="Times New Roman"/>
                <w:sz w:val="24"/>
                <w:szCs w:val="24"/>
              </w:rPr>
            </w:pPr>
            <w:r w:rsidRPr="002E3ED0">
              <w:rPr>
                <w:rFonts w:ascii="Times New Roman" w:hAnsi="Times New Roman" w:cs="Times New Roman"/>
                <w:sz w:val="24"/>
                <w:szCs w:val="24"/>
              </w:rPr>
              <w:t>10</w:t>
            </w:r>
          </w:p>
        </w:tc>
        <w:tc>
          <w:tcPr>
            <w:tcW w:w="0" w:type="auto"/>
            <w:hideMark/>
          </w:tcPr>
          <w:p w14:paraId="38FC1690"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Che et al. (2023)</w:t>
            </w:r>
          </w:p>
        </w:tc>
        <w:tc>
          <w:tcPr>
            <w:tcW w:w="0" w:type="auto"/>
            <w:hideMark/>
          </w:tcPr>
          <w:p w14:paraId="39FA6569"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(Survey)</w:t>
            </w:r>
          </w:p>
        </w:tc>
        <w:tc>
          <w:tcPr>
            <w:tcW w:w="0" w:type="auto"/>
            <w:hideMark/>
          </w:tcPr>
          <w:p w14:paraId="5611317A"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CASP (2020)</w:t>
            </w:r>
          </w:p>
        </w:tc>
        <w:tc>
          <w:tcPr>
            <w:tcW w:w="0" w:type="auto"/>
            <w:hideMark/>
          </w:tcPr>
          <w:p w14:paraId="6CA40855"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8.5/10</w:t>
            </w:r>
          </w:p>
        </w:tc>
        <w:tc>
          <w:tcPr>
            <w:tcW w:w="0" w:type="auto"/>
            <w:hideMark/>
          </w:tcPr>
          <w:p w14:paraId="6BE09E1C"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Segoe UI Emoji" w:hAnsi="Segoe UI Emoji" w:cs="Segoe UI Emoji"/>
                <w:sz w:val="24"/>
                <w:szCs w:val="24"/>
              </w:rPr>
              <w:t>⭐⭐⭐⭐⭐</w:t>
            </w:r>
            <w:r w:rsidRPr="002E3ED0">
              <w:rPr>
                <w:rFonts w:ascii="Times New Roman" w:hAnsi="Times New Roman" w:cs="Times New Roman"/>
                <w:sz w:val="24"/>
                <w:szCs w:val="24"/>
              </w:rPr>
              <w:t xml:space="preserve"> High</w:t>
            </w:r>
          </w:p>
        </w:tc>
      </w:tr>
      <w:tr w:rsidR="002E3ED0" w:rsidRPr="002E3ED0" w14:paraId="40D01523" w14:textId="77777777" w:rsidTr="002E3E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AE6DCF" w14:textId="77777777" w:rsidR="002E3ED0" w:rsidRPr="002E3ED0" w:rsidRDefault="002E3ED0">
            <w:pPr>
              <w:spacing w:line="375" w:lineRule="atLeast"/>
              <w:rPr>
                <w:rFonts w:ascii="Times New Roman" w:hAnsi="Times New Roman" w:cs="Times New Roman"/>
                <w:sz w:val="24"/>
                <w:szCs w:val="24"/>
              </w:rPr>
            </w:pPr>
            <w:r w:rsidRPr="002E3ED0">
              <w:rPr>
                <w:rFonts w:ascii="Times New Roman" w:hAnsi="Times New Roman" w:cs="Times New Roman"/>
                <w:sz w:val="24"/>
                <w:szCs w:val="24"/>
              </w:rPr>
              <w:t>11</w:t>
            </w:r>
          </w:p>
        </w:tc>
        <w:tc>
          <w:tcPr>
            <w:tcW w:w="0" w:type="auto"/>
            <w:hideMark/>
          </w:tcPr>
          <w:p w14:paraId="46B754D2"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Cologgi (2023)</w:t>
            </w:r>
          </w:p>
        </w:tc>
        <w:tc>
          <w:tcPr>
            <w:tcW w:w="0" w:type="auto"/>
            <w:hideMark/>
          </w:tcPr>
          <w:p w14:paraId="023DE618"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(Secondary Data)</w:t>
            </w:r>
          </w:p>
        </w:tc>
        <w:tc>
          <w:tcPr>
            <w:tcW w:w="0" w:type="auto"/>
            <w:hideMark/>
          </w:tcPr>
          <w:p w14:paraId="1BB0C61E"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CASP (2020)</w:t>
            </w:r>
          </w:p>
        </w:tc>
        <w:tc>
          <w:tcPr>
            <w:tcW w:w="0" w:type="auto"/>
            <w:hideMark/>
          </w:tcPr>
          <w:p w14:paraId="67AD247F"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9.0/10</w:t>
            </w:r>
          </w:p>
        </w:tc>
        <w:tc>
          <w:tcPr>
            <w:tcW w:w="0" w:type="auto"/>
            <w:hideMark/>
          </w:tcPr>
          <w:p w14:paraId="785E046F"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Segoe UI Emoji" w:hAnsi="Segoe UI Emoji" w:cs="Segoe UI Emoji"/>
                <w:sz w:val="24"/>
                <w:szCs w:val="24"/>
              </w:rPr>
              <w:t>⭐⭐⭐⭐⭐</w:t>
            </w:r>
            <w:r w:rsidRPr="002E3ED0">
              <w:rPr>
                <w:rFonts w:ascii="Times New Roman" w:hAnsi="Times New Roman" w:cs="Times New Roman"/>
                <w:sz w:val="24"/>
                <w:szCs w:val="24"/>
              </w:rPr>
              <w:t xml:space="preserve"> Excellent</w:t>
            </w:r>
          </w:p>
        </w:tc>
      </w:tr>
      <w:tr w:rsidR="002E3ED0" w:rsidRPr="002E3ED0" w14:paraId="542C7C5C" w14:textId="77777777" w:rsidTr="002E3ED0">
        <w:tc>
          <w:tcPr>
            <w:cnfStyle w:val="001000000000" w:firstRow="0" w:lastRow="0" w:firstColumn="1" w:lastColumn="0" w:oddVBand="0" w:evenVBand="0" w:oddHBand="0" w:evenHBand="0" w:firstRowFirstColumn="0" w:firstRowLastColumn="0" w:lastRowFirstColumn="0" w:lastRowLastColumn="0"/>
            <w:tcW w:w="0" w:type="auto"/>
            <w:hideMark/>
          </w:tcPr>
          <w:p w14:paraId="09C7B07E" w14:textId="77777777" w:rsidR="002E3ED0" w:rsidRPr="002E3ED0" w:rsidRDefault="002E3ED0">
            <w:pPr>
              <w:spacing w:line="375" w:lineRule="atLeast"/>
              <w:rPr>
                <w:rFonts w:ascii="Times New Roman" w:hAnsi="Times New Roman" w:cs="Times New Roman"/>
                <w:sz w:val="24"/>
                <w:szCs w:val="24"/>
              </w:rPr>
            </w:pPr>
            <w:r w:rsidRPr="002E3ED0">
              <w:rPr>
                <w:rFonts w:ascii="Times New Roman" w:hAnsi="Times New Roman" w:cs="Times New Roman"/>
                <w:sz w:val="24"/>
                <w:szCs w:val="24"/>
              </w:rPr>
              <w:t>12</w:t>
            </w:r>
          </w:p>
        </w:tc>
        <w:tc>
          <w:tcPr>
            <w:tcW w:w="0" w:type="auto"/>
            <w:hideMark/>
          </w:tcPr>
          <w:p w14:paraId="4CCA7DE8"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Hanif &amp; Lallie (2021)</w:t>
            </w:r>
          </w:p>
        </w:tc>
        <w:tc>
          <w:tcPr>
            <w:tcW w:w="0" w:type="auto"/>
            <w:hideMark/>
          </w:tcPr>
          <w:p w14:paraId="0F4D0699"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Mixed Methods</w:t>
            </w:r>
          </w:p>
        </w:tc>
        <w:tc>
          <w:tcPr>
            <w:tcW w:w="0" w:type="auto"/>
            <w:hideMark/>
          </w:tcPr>
          <w:p w14:paraId="1902E2D7"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CASP (2020)</w:t>
            </w:r>
          </w:p>
        </w:tc>
        <w:tc>
          <w:tcPr>
            <w:tcW w:w="0" w:type="auto"/>
            <w:hideMark/>
          </w:tcPr>
          <w:p w14:paraId="1EC521FB"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9.0/10</w:t>
            </w:r>
          </w:p>
        </w:tc>
        <w:tc>
          <w:tcPr>
            <w:tcW w:w="0" w:type="auto"/>
            <w:hideMark/>
          </w:tcPr>
          <w:p w14:paraId="0BB565CA"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Segoe UI Emoji" w:hAnsi="Segoe UI Emoji" w:cs="Segoe UI Emoji"/>
                <w:sz w:val="24"/>
                <w:szCs w:val="24"/>
              </w:rPr>
              <w:t>⭐⭐⭐⭐⭐</w:t>
            </w:r>
            <w:r w:rsidRPr="002E3ED0">
              <w:rPr>
                <w:rFonts w:ascii="Times New Roman" w:hAnsi="Times New Roman" w:cs="Times New Roman"/>
                <w:sz w:val="24"/>
                <w:szCs w:val="24"/>
              </w:rPr>
              <w:t xml:space="preserve"> Excellent</w:t>
            </w:r>
          </w:p>
        </w:tc>
      </w:tr>
      <w:tr w:rsidR="002E3ED0" w:rsidRPr="002E3ED0" w14:paraId="593257E9" w14:textId="77777777" w:rsidTr="002E3E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ABA931" w14:textId="77777777" w:rsidR="002E3ED0" w:rsidRPr="002E3ED0" w:rsidRDefault="002E3ED0">
            <w:pPr>
              <w:spacing w:line="375" w:lineRule="atLeast"/>
              <w:rPr>
                <w:rFonts w:ascii="Times New Roman" w:hAnsi="Times New Roman" w:cs="Times New Roman"/>
                <w:sz w:val="24"/>
                <w:szCs w:val="24"/>
              </w:rPr>
            </w:pPr>
            <w:r w:rsidRPr="002E3ED0">
              <w:rPr>
                <w:rFonts w:ascii="Times New Roman" w:hAnsi="Times New Roman" w:cs="Times New Roman"/>
                <w:sz w:val="24"/>
                <w:szCs w:val="24"/>
              </w:rPr>
              <w:t>13</w:t>
            </w:r>
          </w:p>
        </w:tc>
        <w:tc>
          <w:tcPr>
            <w:tcW w:w="0" w:type="auto"/>
            <w:hideMark/>
          </w:tcPr>
          <w:p w14:paraId="5986997C"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Hilal &amp; Varela-Neira (2022)</w:t>
            </w:r>
          </w:p>
        </w:tc>
        <w:tc>
          <w:tcPr>
            <w:tcW w:w="0" w:type="auto"/>
            <w:hideMark/>
          </w:tcPr>
          <w:p w14:paraId="1BBB1E57"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(Survey)</w:t>
            </w:r>
          </w:p>
        </w:tc>
        <w:tc>
          <w:tcPr>
            <w:tcW w:w="0" w:type="auto"/>
            <w:hideMark/>
          </w:tcPr>
          <w:p w14:paraId="74879F7B"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CASP (2020)</w:t>
            </w:r>
          </w:p>
        </w:tc>
        <w:tc>
          <w:tcPr>
            <w:tcW w:w="0" w:type="auto"/>
            <w:hideMark/>
          </w:tcPr>
          <w:p w14:paraId="11FE3483"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8.5/10</w:t>
            </w:r>
          </w:p>
        </w:tc>
        <w:tc>
          <w:tcPr>
            <w:tcW w:w="0" w:type="auto"/>
            <w:hideMark/>
          </w:tcPr>
          <w:p w14:paraId="60313EC2"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Segoe UI Emoji" w:hAnsi="Segoe UI Emoji" w:cs="Segoe UI Emoji"/>
                <w:sz w:val="24"/>
                <w:szCs w:val="24"/>
              </w:rPr>
              <w:t>⭐⭐⭐⭐⭐</w:t>
            </w:r>
            <w:r w:rsidRPr="002E3ED0">
              <w:rPr>
                <w:rFonts w:ascii="Times New Roman" w:hAnsi="Times New Roman" w:cs="Times New Roman"/>
                <w:sz w:val="24"/>
                <w:szCs w:val="24"/>
              </w:rPr>
              <w:t xml:space="preserve"> High</w:t>
            </w:r>
          </w:p>
        </w:tc>
      </w:tr>
      <w:tr w:rsidR="002E3ED0" w:rsidRPr="002E3ED0" w14:paraId="7EBB852E" w14:textId="77777777" w:rsidTr="002E3ED0">
        <w:tc>
          <w:tcPr>
            <w:cnfStyle w:val="001000000000" w:firstRow="0" w:lastRow="0" w:firstColumn="1" w:lastColumn="0" w:oddVBand="0" w:evenVBand="0" w:oddHBand="0" w:evenHBand="0" w:firstRowFirstColumn="0" w:firstRowLastColumn="0" w:lastRowFirstColumn="0" w:lastRowLastColumn="0"/>
            <w:tcW w:w="0" w:type="auto"/>
            <w:hideMark/>
          </w:tcPr>
          <w:p w14:paraId="7B637057" w14:textId="77777777" w:rsidR="002E3ED0" w:rsidRPr="002E3ED0" w:rsidRDefault="002E3ED0">
            <w:pPr>
              <w:spacing w:line="375" w:lineRule="atLeast"/>
              <w:rPr>
                <w:rFonts w:ascii="Times New Roman" w:hAnsi="Times New Roman" w:cs="Times New Roman"/>
                <w:sz w:val="24"/>
                <w:szCs w:val="24"/>
              </w:rPr>
            </w:pPr>
            <w:r w:rsidRPr="002E3ED0">
              <w:rPr>
                <w:rFonts w:ascii="Times New Roman" w:hAnsi="Times New Roman" w:cs="Times New Roman"/>
                <w:sz w:val="24"/>
                <w:szCs w:val="24"/>
              </w:rPr>
              <w:t>14</w:t>
            </w:r>
          </w:p>
        </w:tc>
        <w:tc>
          <w:tcPr>
            <w:tcW w:w="0" w:type="auto"/>
            <w:hideMark/>
          </w:tcPr>
          <w:p w14:paraId="30D9AC9F"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Jiang et al. (2022)</w:t>
            </w:r>
          </w:p>
        </w:tc>
        <w:tc>
          <w:tcPr>
            <w:tcW w:w="0" w:type="auto"/>
            <w:hideMark/>
          </w:tcPr>
          <w:p w14:paraId="29C022B6"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(Survey)</w:t>
            </w:r>
          </w:p>
        </w:tc>
        <w:tc>
          <w:tcPr>
            <w:tcW w:w="0" w:type="auto"/>
            <w:hideMark/>
          </w:tcPr>
          <w:p w14:paraId="4B005684"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CASP (2020)</w:t>
            </w:r>
          </w:p>
        </w:tc>
        <w:tc>
          <w:tcPr>
            <w:tcW w:w="0" w:type="auto"/>
            <w:hideMark/>
          </w:tcPr>
          <w:p w14:paraId="6703DAD8"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8.5/10</w:t>
            </w:r>
          </w:p>
        </w:tc>
        <w:tc>
          <w:tcPr>
            <w:tcW w:w="0" w:type="auto"/>
            <w:hideMark/>
          </w:tcPr>
          <w:p w14:paraId="19EF88F5"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Segoe UI Emoji" w:hAnsi="Segoe UI Emoji" w:cs="Segoe UI Emoji"/>
                <w:sz w:val="24"/>
                <w:szCs w:val="24"/>
              </w:rPr>
              <w:t>⭐⭐⭐⭐⭐</w:t>
            </w:r>
            <w:r w:rsidRPr="002E3ED0">
              <w:rPr>
                <w:rFonts w:ascii="Times New Roman" w:hAnsi="Times New Roman" w:cs="Times New Roman"/>
                <w:sz w:val="24"/>
                <w:szCs w:val="24"/>
              </w:rPr>
              <w:t xml:space="preserve"> High</w:t>
            </w:r>
          </w:p>
        </w:tc>
      </w:tr>
      <w:tr w:rsidR="002E3ED0" w:rsidRPr="002E3ED0" w14:paraId="2C7182B4" w14:textId="77777777" w:rsidTr="002E3E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F12A12" w14:textId="77777777" w:rsidR="002E3ED0" w:rsidRPr="002E3ED0" w:rsidRDefault="002E3ED0">
            <w:pPr>
              <w:spacing w:line="375" w:lineRule="atLeast"/>
              <w:rPr>
                <w:rFonts w:ascii="Times New Roman" w:hAnsi="Times New Roman" w:cs="Times New Roman"/>
                <w:sz w:val="24"/>
                <w:szCs w:val="24"/>
              </w:rPr>
            </w:pPr>
            <w:r w:rsidRPr="002E3ED0">
              <w:rPr>
                <w:rFonts w:ascii="Times New Roman" w:hAnsi="Times New Roman" w:cs="Times New Roman"/>
                <w:sz w:val="24"/>
                <w:szCs w:val="24"/>
              </w:rPr>
              <w:t>15</w:t>
            </w:r>
          </w:p>
        </w:tc>
        <w:tc>
          <w:tcPr>
            <w:tcW w:w="0" w:type="auto"/>
            <w:hideMark/>
          </w:tcPr>
          <w:p w14:paraId="10E7F831"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Lee, Tang &amp; Jiang (2023)</w:t>
            </w:r>
          </w:p>
        </w:tc>
        <w:tc>
          <w:tcPr>
            <w:tcW w:w="0" w:type="auto"/>
            <w:hideMark/>
          </w:tcPr>
          <w:p w14:paraId="2E2928D3"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(Survey)</w:t>
            </w:r>
          </w:p>
        </w:tc>
        <w:tc>
          <w:tcPr>
            <w:tcW w:w="0" w:type="auto"/>
            <w:hideMark/>
          </w:tcPr>
          <w:p w14:paraId="7C0FE2E4"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CASP (2020)</w:t>
            </w:r>
          </w:p>
        </w:tc>
        <w:tc>
          <w:tcPr>
            <w:tcW w:w="0" w:type="auto"/>
            <w:hideMark/>
          </w:tcPr>
          <w:p w14:paraId="08804688"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8.5/10</w:t>
            </w:r>
          </w:p>
        </w:tc>
        <w:tc>
          <w:tcPr>
            <w:tcW w:w="0" w:type="auto"/>
            <w:hideMark/>
          </w:tcPr>
          <w:p w14:paraId="3C1E9311"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Segoe UI Emoji" w:hAnsi="Segoe UI Emoji" w:cs="Segoe UI Emoji"/>
                <w:sz w:val="24"/>
                <w:szCs w:val="24"/>
              </w:rPr>
              <w:t>⭐⭐⭐⭐⭐</w:t>
            </w:r>
            <w:r w:rsidRPr="002E3ED0">
              <w:rPr>
                <w:rFonts w:ascii="Times New Roman" w:hAnsi="Times New Roman" w:cs="Times New Roman"/>
                <w:sz w:val="24"/>
                <w:szCs w:val="24"/>
              </w:rPr>
              <w:t xml:space="preserve"> High</w:t>
            </w:r>
          </w:p>
        </w:tc>
      </w:tr>
      <w:tr w:rsidR="002E3ED0" w:rsidRPr="002E3ED0" w14:paraId="1DF645C9" w14:textId="77777777" w:rsidTr="002E3ED0">
        <w:tc>
          <w:tcPr>
            <w:cnfStyle w:val="001000000000" w:firstRow="0" w:lastRow="0" w:firstColumn="1" w:lastColumn="0" w:oddVBand="0" w:evenVBand="0" w:oddHBand="0" w:evenHBand="0" w:firstRowFirstColumn="0" w:firstRowLastColumn="0" w:lastRowFirstColumn="0" w:lastRowLastColumn="0"/>
            <w:tcW w:w="0" w:type="auto"/>
            <w:hideMark/>
          </w:tcPr>
          <w:p w14:paraId="19B005E4" w14:textId="77777777" w:rsidR="002E3ED0" w:rsidRPr="002E3ED0" w:rsidRDefault="002E3ED0">
            <w:pPr>
              <w:spacing w:line="375" w:lineRule="atLeast"/>
              <w:rPr>
                <w:rFonts w:ascii="Times New Roman" w:hAnsi="Times New Roman" w:cs="Times New Roman"/>
                <w:sz w:val="24"/>
                <w:szCs w:val="24"/>
              </w:rPr>
            </w:pPr>
            <w:r w:rsidRPr="002E3ED0">
              <w:rPr>
                <w:rFonts w:ascii="Times New Roman" w:hAnsi="Times New Roman" w:cs="Times New Roman"/>
                <w:sz w:val="24"/>
                <w:szCs w:val="24"/>
              </w:rPr>
              <w:lastRenderedPageBreak/>
              <w:t>16</w:t>
            </w:r>
          </w:p>
        </w:tc>
        <w:tc>
          <w:tcPr>
            <w:tcW w:w="0" w:type="auto"/>
            <w:hideMark/>
          </w:tcPr>
          <w:p w14:paraId="10DEAEC8"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Liu &amp; Babar (2024)</w:t>
            </w:r>
          </w:p>
        </w:tc>
        <w:tc>
          <w:tcPr>
            <w:tcW w:w="0" w:type="auto"/>
            <w:hideMark/>
          </w:tcPr>
          <w:p w14:paraId="49E3F5EA"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Systematic Review</w:t>
            </w:r>
          </w:p>
        </w:tc>
        <w:tc>
          <w:tcPr>
            <w:tcW w:w="0" w:type="auto"/>
            <w:hideMark/>
          </w:tcPr>
          <w:p w14:paraId="495DE1E2"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AMSTAR 2</w:t>
            </w:r>
          </w:p>
        </w:tc>
        <w:tc>
          <w:tcPr>
            <w:tcW w:w="0" w:type="auto"/>
            <w:hideMark/>
          </w:tcPr>
          <w:p w14:paraId="31AF66B5"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Style w:val="Strong"/>
                <w:rFonts w:ascii="Times New Roman" w:hAnsi="Times New Roman" w:cs="Times New Roman"/>
                <w:sz w:val="24"/>
                <w:szCs w:val="24"/>
              </w:rPr>
              <w:t>9.5/10</w:t>
            </w:r>
          </w:p>
        </w:tc>
        <w:tc>
          <w:tcPr>
            <w:tcW w:w="0" w:type="auto"/>
            <w:hideMark/>
          </w:tcPr>
          <w:p w14:paraId="3103EBCC"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Segoe UI Emoji" w:hAnsi="Segoe UI Emoji" w:cs="Segoe UI Emoji"/>
                <w:sz w:val="24"/>
                <w:szCs w:val="24"/>
              </w:rPr>
              <w:t>⭐⭐⭐⭐⭐</w:t>
            </w:r>
            <w:r w:rsidRPr="002E3ED0">
              <w:rPr>
                <w:rFonts w:ascii="Times New Roman" w:hAnsi="Times New Roman" w:cs="Times New Roman"/>
                <w:sz w:val="24"/>
                <w:szCs w:val="24"/>
              </w:rPr>
              <w:t xml:space="preserve"> Excellent</w:t>
            </w:r>
          </w:p>
        </w:tc>
      </w:tr>
      <w:tr w:rsidR="002E3ED0" w:rsidRPr="002E3ED0" w14:paraId="29BB76CA" w14:textId="77777777" w:rsidTr="002E3E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DFE67F" w14:textId="77777777" w:rsidR="002E3ED0" w:rsidRPr="002E3ED0" w:rsidRDefault="002E3ED0">
            <w:pPr>
              <w:spacing w:line="375" w:lineRule="atLeast"/>
              <w:rPr>
                <w:rFonts w:ascii="Times New Roman" w:hAnsi="Times New Roman" w:cs="Times New Roman"/>
                <w:sz w:val="24"/>
                <w:szCs w:val="24"/>
              </w:rPr>
            </w:pPr>
            <w:r w:rsidRPr="002E3ED0">
              <w:rPr>
                <w:rFonts w:ascii="Times New Roman" w:hAnsi="Times New Roman" w:cs="Times New Roman"/>
                <w:sz w:val="24"/>
                <w:szCs w:val="24"/>
              </w:rPr>
              <w:t>17</w:t>
            </w:r>
          </w:p>
        </w:tc>
        <w:tc>
          <w:tcPr>
            <w:tcW w:w="0" w:type="auto"/>
            <w:hideMark/>
          </w:tcPr>
          <w:p w14:paraId="279A4BA3"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Duxbury, Linares-Zegarra &amp; Verousis (2025)</w:t>
            </w:r>
          </w:p>
        </w:tc>
        <w:tc>
          <w:tcPr>
            <w:tcW w:w="0" w:type="auto"/>
            <w:hideMark/>
          </w:tcPr>
          <w:p w14:paraId="65547A37"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(Secondary Data)</w:t>
            </w:r>
          </w:p>
        </w:tc>
        <w:tc>
          <w:tcPr>
            <w:tcW w:w="0" w:type="auto"/>
            <w:hideMark/>
          </w:tcPr>
          <w:p w14:paraId="74E16D30"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CASP (2020)</w:t>
            </w:r>
          </w:p>
        </w:tc>
        <w:tc>
          <w:tcPr>
            <w:tcW w:w="0" w:type="auto"/>
            <w:hideMark/>
          </w:tcPr>
          <w:p w14:paraId="0726C925"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9.0/10</w:t>
            </w:r>
          </w:p>
        </w:tc>
        <w:tc>
          <w:tcPr>
            <w:tcW w:w="0" w:type="auto"/>
            <w:hideMark/>
          </w:tcPr>
          <w:p w14:paraId="75FF49E9"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Segoe UI Emoji" w:hAnsi="Segoe UI Emoji" w:cs="Segoe UI Emoji"/>
                <w:sz w:val="24"/>
                <w:szCs w:val="24"/>
              </w:rPr>
              <w:t>⭐⭐⭐⭐⭐</w:t>
            </w:r>
            <w:r w:rsidRPr="002E3ED0">
              <w:rPr>
                <w:rFonts w:ascii="Times New Roman" w:hAnsi="Times New Roman" w:cs="Times New Roman"/>
                <w:sz w:val="24"/>
                <w:szCs w:val="24"/>
              </w:rPr>
              <w:t xml:space="preserve"> Excellent</w:t>
            </w:r>
          </w:p>
        </w:tc>
      </w:tr>
      <w:tr w:rsidR="002E3ED0" w:rsidRPr="002E3ED0" w14:paraId="511EB32E" w14:textId="77777777" w:rsidTr="002E3ED0">
        <w:tc>
          <w:tcPr>
            <w:cnfStyle w:val="001000000000" w:firstRow="0" w:lastRow="0" w:firstColumn="1" w:lastColumn="0" w:oddVBand="0" w:evenVBand="0" w:oddHBand="0" w:evenHBand="0" w:firstRowFirstColumn="0" w:firstRowLastColumn="0" w:lastRowFirstColumn="0" w:lastRowLastColumn="0"/>
            <w:tcW w:w="0" w:type="auto"/>
            <w:hideMark/>
          </w:tcPr>
          <w:p w14:paraId="17C8F728" w14:textId="77777777" w:rsidR="002E3ED0" w:rsidRPr="002E3ED0" w:rsidRDefault="002E3ED0">
            <w:pPr>
              <w:spacing w:line="375" w:lineRule="atLeast"/>
              <w:rPr>
                <w:rFonts w:ascii="Times New Roman" w:hAnsi="Times New Roman" w:cs="Times New Roman"/>
                <w:sz w:val="24"/>
                <w:szCs w:val="24"/>
              </w:rPr>
            </w:pPr>
            <w:r w:rsidRPr="002E3ED0">
              <w:rPr>
                <w:rFonts w:ascii="Times New Roman" w:hAnsi="Times New Roman" w:cs="Times New Roman"/>
                <w:sz w:val="24"/>
                <w:szCs w:val="24"/>
              </w:rPr>
              <w:t>18</w:t>
            </w:r>
          </w:p>
        </w:tc>
        <w:tc>
          <w:tcPr>
            <w:tcW w:w="0" w:type="auto"/>
            <w:hideMark/>
          </w:tcPr>
          <w:p w14:paraId="13BE6FDB"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Martinez-Navalon et al. (2023)</w:t>
            </w:r>
          </w:p>
        </w:tc>
        <w:tc>
          <w:tcPr>
            <w:tcW w:w="0" w:type="auto"/>
            <w:hideMark/>
          </w:tcPr>
          <w:p w14:paraId="0BD5F27D"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(Survey)</w:t>
            </w:r>
          </w:p>
        </w:tc>
        <w:tc>
          <w:tcPr>
            <w:tcW w:w="0" w:type="auto"/>
            <w:hideMark/>
          </w:tcPr>
          <w:p w14:paraId="29C4554B"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CASP (2020)</w:t>
            </w:r>
          </w:p>
        </w:tc>
        <w:tc>
          <w:tcPr>
            <w:tcW w:w="0" w:type="auto"/>
            <w:hideMark/>
          </w:tcPr>
          <w:p w14:paraId="6C08D458"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8.5/10</w:t>
            </w:r>
          </w:p>
        </w:tc>
        <w:tc>
          <w:tcPr>
            <w:tcW w:w="0" w:type="auto"/>
            <w:hideMark/>
          </w:tcPr>
          <w:p w14:paraId="29C7135B"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Segoe UI Emoji" w:hAnsi="Segoe UI Emoji" w:cs="Segoe UI Emoji"/>
                <w:sz w:val="24"/>
                <w:szCs w:val="24"/>
              </w:rPr>
              <w:t>⭐⭐⭐⭐⭐</w:t>
            </w:r>
            <w:r w:rsidRPr="002E3ED0">
              <w:rPr>
                <w:rFonts w:ascii="Times New Roman" w:hAnsi="Times New Roman" w:cs="Times New Roman"/>
                <w:sz w:val="24"/>
                <w:szCs w:val="24"/>
              </w:rPr>
              <w:t xml:space="preserve"> High</w:t>
            </w:r>
          </w:p>
        </w:tc>
      </w:tr>
      <w:tr w:rsidR="002E3ED0" w:rsidRPr="002E3ED0" w14:paraId="0448426F" w14:textId="77777777" w:rsidTr="002E3E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CCD18A" w14:textId="77777777" w:rsidR="002E3ED0" w:rsidRPr="002E3ED0" w:rsidRDefault="002E3ED0">
            <w:pPr>
              <w:spacing w:line="375" w:lineRule="atLeast"/>
              <w:rPr>
                <w:rFonts w:ascii="Times New Roman" w:hAnsi="Times New Roman" w:cs="Times New Roman"/>
                <w:sz w:val="24"/>
                <w:szCs w:val="24"/>
              </w:rPr>
            </w:pPr>
            <w:r w:rsidRPr="002E3ED0">
              <w:rPr>
                <w:rFonts w:ascii="Times New Roman" w:hAnsi="Times New Roman" w:cs="Times New Roman"/>
                <w:sz w:val="24"/>
                <w:szCs w:val="24"/>
              </w:rPr>
              <w:t>19</w:t>
            </w:r>
          </w:p>
        </w:tc>
        <w:tc>
          <w:tcPr>
            <w:tcW w:w="0" w:type="auto"/>
            <w:hideMark/>
          </w:tcPr>
          <w:p w14:paraId="498F6F34"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Modesti et al. (2025)</w:t>
            </w:r>
          </w:p>
        </w:tc>
        <w:tc>
          <w:tcPr>
            <w:tcW w:w="0" w:type="auto"/>
            <w:hideMark/>
          </w:tcPr>
          <w:p w14:paraId="1EA9F017"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Technical/Security Analysis</w:t>
            </w:r>
          </w:p>
        </w:tc>
        <w:tc>
          <w:tcPr>
            <w:tcW w:w="0" w:type="auto"/>
            <w:hideMark/>
          </w:tcPr>
          <w:p w14:paraId="786C5FCB"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CASP (2020)</w:t>
            </w:r>
          </w:p>
        </w:tc>
        <w:tc>
          <w:tcPr>
            <w:tcW w:w="0" w:type="auto"/>
            <w:hideMark/>
          </w:tcPr>
          <w:p w14:paraId="70A3ECD9"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8.5/10</w:t>
            </w:r>
          </w:p>
        </w:tc>
        <w:tc>
          <w:tcPr>
            <w:tcW w:w="0" w:type="auto"/>
            <w:hideMark/>
          </w:tcPr>
          <w:p w14:paraId="5BC235A5"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Segoe UI Emoji" w:hAnsi="Segoe UI Emoji" w:cs="Segoe UI Emoji"/>
                <w:sz w:val="24"/>
                <w:szCs w:val="24"/>
              </w:rPr>
              <w:t>⭐⭐⭐⭐⭐</w:t>
            </w:r>
            <w:r w:rsidRPr="002E3ED0">
              <w:rPr>
                <w:rFonts w:ascii="Times New Roman" w:hAnsi="Times New Roman" w:cs="Times New Roman"/>
                <w:sz w:val="24"/>
                <w:szCs w:val="24"/>
              </w:rPr>
              <w:t xml:space="preserve"> High</w:t>
            </w:r>
          </w:p>
        </w:tc>
      </w:tr>
      <w:tr w:rsidR="002E3ED0" w:rsidRPr="002E3ED0" w14:paraId="535B1679" w14:textId="77777777" w:rsidTr="002E3ED0">
        <w:tc>
          <w:tcPr>
            <w:cnfStyle w:val="001000000000" w:firstRow="0" w:lastRow="0" w:firstColumn="1" w:lastColumn="0" w:oddVBand="0" w:evenVBand="0" w:oddHBand="0" w:evenHBand="0" w:firstRowFirstColumn="0" w:firstRowLastColumn="0" w:lastRowFirstColumn="0" w:lastRowLastColumn="0"/>
            <w:tcW w:w="0" w:type="auto"/>
            <w:hideMark/>
          </w:tcPr>
          <w:p w14:paraId="632953D8" w14:textId="77777777" w:rsidR="002E3ED0" w:rsidRPr="002E3ED0" w:rsidRDefault="002E3ED0">
            <w:pPr>
              <w:spacing w:line="375" w:lineRule="atLeast"/>
              <w:rPr>
                <w:rFonts w:ascii="Times New Roman" w:hAnsi="Times New Roman" w:cs="Times New Roman"/>
                <w:sz w:val="24"/>
                <w:szCs w:val="24"/>
              </w:rPr>
            </w:pPr>
            <w:r w:rsidRPr="002E3ED0">
              <w:rPr>
                <w:rFonts w:ascii="Times New Roman" w:hAnsi="Times New Roman" w:cs="Times New Roman"/>
                <w:sz w:val="24"/>
                <w:szCs w:val="24"/>
              </w:rPr>
              <w:t>20</w:t>
            </w:r>
          </w:p>
        </w:tc>
        <w:tc>
          <w:tcPr>
            <w:tcW w:w="0" w:type="auto"/>
            <w:hideMark/>
          </w:tcPr>
          <w:p w14:paraId="43827629"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Rajaobelina et al. (2021)</w:t>
            </w:r>
          </w:p>
        </w:tc>
        <w:tc>
          <w:tcPr>
            <w:tcW w:w="0" w:type="auto"/>
            <w:hideMark/>
          </w:tcPr>
          <w:p w14:paraId="7EFBE3EC"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(Survey)</w:t>
            </w:r>
          </w:p>
        </w:tc>
        <w:tc>
          <w:tcPr>
            <w:tcW w:w="0" w:type="auto"/>
            <w:hideMark/>
          </w:tcPr>
          <w:p w14:paraId="2063DD8E"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CASP (2020)</w:t>
            </w:r>
          </w:p>
        </w:tc>
        <w:tc>
          <w:tcPr>
            <w:tcW w:w="0" w:type="auto"/>
            <w:hideMark/>
          </w:tcPr>
          <w:p w14:paraId="32375E23"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8.5/10</w:t>
            </w:r>
          </w:p>
        </w:tc>
        <w:tc>
          <w:tcPr>
            <w:tcW w:w="0" w:type="auto"/>
            <w:hideMark/>
          </w:tcPr>
          <w:p w14:paraId="11233E7B"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Segoe UI Emoji" w:hAnsi="Segoe UI Emoji" w:cs="Segoe UI Emoji"/>
                <w:sz w:val="24"/>
                <w:szCs w:val="24"/>
              </w:rPr>
              <w:t>⭐⭐⭐⭐⭐</w:t>
            </w:r>
            <w:r w:rsidRPr="002E3ED0">
              <w:rPr>
                <w:rFonts w:ascii="Times New Roman" w:hAnsi="Times New Roman" w:cs="Times New Roman"/>
                <w:sz w:val="24"/>
                <w:szCs w:val="24"/>
              </w:rPr>
              <w:t xml:space="preserve"> High</w:t>
            </w:r>
          </w:p>
        </w:tc>
      </w:tr>
      <w:tr w:rsidR="002E3ED0" w:rsidRPr="002E3ED0" w14:paraId="57956412" w14:textId="77777777" w:rsidTr="002E3E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7A142B" w14:textId="77777777" w:rsidR="002E3ED0" w:rsidRPr="002E3ED0" w:rsidRDefault="002E3ED0">
            <w:pPr>
              <w:spacing w:line="375" w:lineRule="atLeast"/>
              <w:rPr>
                <w:rFonts w:ascii="Times New Roman" w:hAnsi="Times New Roman" w:cs="Times New Roman"/>
                <w:sz w:val="24"/>
                <w:szCs w:val="24"/>
              </w:rPr>
            </w:pPr>
            <w:r w:rsidRPr="002E3ED0">
              <w:rPr>
                <w:rFonts w:ascii="Times New Roman" w:hAnsi="Times New Roman" w:cs="Times New Roman"/>
                <w:sz w:val="24"/>
                <w:szCs w:val="24"/>
              </w:rPr>
              <w:t>21</w:t>
            </w:r>
          </w:p>
        </w:tc>
        <w:tc>
          <w:tcPr>
            <w:tcW w:w="0" w:type="auto"/>
            <w:hideMark/>
          </w:tcPr>
          <w:p w14:paraId="2E64AB43"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Shahid et al. (2022)</w:t>
            </w:r>
          </w:p>
        </w:tc>
        <w:tc>
          <w:tcPr>
            <w:tcW w:w="0" w:type="auto"/>
            <w:hideMark/>
          </w:tcPr>
          <w:p w14:paraId="670AE38F"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(Survey)</w:t>
            </w:r>
          </w:p>
        </w:tc>
        <w:tc>
          <w:tcPr>
            <w:tcW w:w="0" w:type="auto"/>
            <w:hideMark/>
          </w:tcPr>
          <w:p w14:paraId="27C8C3F6"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CASP (2020)</w:t>
            </w:r>
          </w:p>
        </w:tc>
        <w:tc>
          <w:tcPr>
            <w:tcW w:w="0" w:type="auto"/>
            <w:hideMark/>
          </w:tcPr>
          <w:p w14:paraId="5C127421"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8.5/10</w:t>
            </w:r>
          </w:p>
        </w:tc>
        <w:tc>
          <w:tcPr>
            <w:tcW w:w="0" w:type="auto"/>
            <w:hideMark/>
          </w:tcPr>
          <w:p w14:paraId="4AFE05EE"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Segoe UI Emoji" w:hAnsi="Segoe UI Emoji" w:cs="Segoe UI Emoji"/>
                <w:sz w:val="24"/>
                <w:szCs w:val="24"/>
              </w:rPr>
              <w:t>⭐⭐⭐⭐⭐</w:t>
            </w:r>
            <w:r w:rsidRPr="002E3ED0">
              <w:rPr>
                <w:rFonts w:ascii="Times New Roman" w:hAnsi="Times New Roman" w:cs="Times New Roman"/>
                <w:sz w:val="24"/>
                <w:szCs w:val="24"/>
              </w:rPr>
              <w:t xml:space="preserve"> High</w:t>
            </w:r>
          </w:p>
        </w:tc>
      </w:tr>
      <w:tr w:rsidR="002E3ED0" w:rsidRPr="002E3ED0" w14:paraId="4E1D4CF8" w14:textId="77777777" w:rsidTr="002E3ED0">
        <w:tc>
          <w:tcPr>
            <w:cnfStyle w:val="001000000000" w:firstRow="0" w:lastRow="0" w:firstColumn="1" w:lastColumn="0" w:oddVBand="0" w:evenVBand="0" w:oddHBand="0" w:evenHBand="0" w:firstRowFirstColumn="0" w:firstRowLastColumn="0" w:lastRowFirstColumn="0" w:lastRowLastColumn="0"/>
            <w:tcW w:w="0" w:type="auto"/>
            <w:hideMark/>
          </w:tcPr>
          <w:p w14:paraId="192CF68F" w14:textId="77777777" w:rsidR="002E3ED0" w:rsidRPr="002E3ED0" w:rsidRDefault="002E3ED0">
            <w:pPr>
              <w:spacing w:line="375" w:lineRule="atLeast"/>
              <w:rPr>
                <w:rFonts w:ascii="Times New Roman" w:hAnsi="Times New Roman" w:cs="Times New Roman"/>
                <w:sz w:val="24"/>
                <w:szCs w:val="24"/>
              </w:rPr>
            </w:pPr>
            <w:r w:rsidRPr="002E3ED0">
              <w:rPr>
                <w:rFonts w:ascii="Times New Roman" w:hAnsi="Times New Roman" w:cs="Times New Roman"/>
                <w:sz w:val="24"/>
                <w:szCs w:val="24"/>
              </w:rPr>
              <w:t>22</w:t>
            </w:r>
          </w:p>
        </w:tc>
        <w:tc>
          <w:tcPr>
            <w:tcW w:w="0" w:type="auto"/>
            <w:hideMark/>
          </w:tcPr>
          <w:p w14:paraId="6CFB94A1"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Shum (2025)</w:t>
            </w:r>
          </w:p>
        </w:tc>
        <w:tc>
          <w:tcPr>
            <w:tcW w:w="0" w:type="auto"/>
            <w:hideMark/>
          </w:tcPr>
          <w:p w14:paraId="0A81C5AD"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Legal/Policy Analysis</w:t>
            </w:r>
          </w:p>
        </w:tc>
        <w:tc>
          <w:tcPr>
            <w:tcW w:w="0" w:type="auto"/>
            <w:hideMark/>
          </w:tcPr>
          <w:p w14:paraId="2F892197"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CASP (2020)</w:t>
            </w:r>
          </w:p>
        </w:tc>
        <w:tc>
          <w:tcPr>
            <w:tcW w:w="0" w:type="auto"/>
            <w:hideMark/>
          </w:tcPr>
          <w:p w14:paraId="3ADA69FC"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9.0/10</w:t>
            </w:r>
          </w:p>
        </w:tc>
        <w:tc>
          <w:tcPr>
            <w:tcW w:w="0" w:type="auto"/>
            <w:hideMark/>
          </w:tcPr>
          <w:p w14:paraId="6820B100"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Segoe UI Emoji" w:hAnsi="Segoe UI Emoji" w:cs="Segoe UI Emoji"/>
                <w:sz w:val="24"/>
                <w:szCs w:val="24"/>
              </w:rPr>
              <w:t>⭐⭐⭐⭐⭐</w:t>
            </w:r>
            <w:r w:rsidRPr="002E3ED0">
              <w:rPr>
                <w:rFonts w:ascii="Times New Roman" w:hAnsi="Times New Roman" w:cs="Times New Roman"/>
                <w:sz w:val="24"/>
                <w:szCs w:val="24"/>
              </w:rPr>
              <w:t xml:space="preserve"> Excellent</w:t>
            </w:r>
          </w:p>
        </w:tc>
      </w:tr>
      <w:tr w:rsidR="002E3ED0" w:rsidRPr="002E3ED0" w14:paraId="5722A538" w14:textId="77777777" w:rsidTr="002E3E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1EB07E" w14:textId="77777777" w:rsidR="002E3ED0" w:rsidRPr="002E3ED0" w:rsidRDefault="002E3ED0">
            <w:pPr>
              <w:spacing w:line="375" w:lineRule="atLeast"/>
              <w:rPr>
                <w:rFonts w:ascii="Times New Roman" w:hAnsi="Times New Roman" w:cs="Times New Roman"/>
                <w:sz w:val="24"/>
                <w:szCs w:val="24"/>
              </w:rPr>
            </w:pPr>
            <w:r w:rsidRPr="002E3ED0">
              <w:rPr>
                <w:rFonts w:ascii="Times New Roman" w:hAnsi="Times New Roman" w:cs="Times New Roman"/>
                <w:sz w:val="24"/>
                <w:szCs w:val="24"/>
              </w:rPr>
              <w:t>23</w:t>
            </w:r>
          </w:p>
        </w:tc>
        <w:tc>
          <w:tcPr>
            <w:tcW w:w="0" w:type="auto"/>
            <w:hideMark/>
          </w:tcPr>
          <w:p w14:paraId="1565A8EB"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Söilen &amp; Benhayoun (2022)</w:t>
            </w:r>
          </w:p>
        </w:tc>
        <w:tc>
          <w:tcPr>
            <w:tcW w:w="0" w:type="auto"/>
            <w:hideMark/>
          </w:tcPr>
          <w:p w14:paraId="780DFC5C"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(Survey)</w:t>
            </w:r>
          </w:p>
        </w:tc>
        <w:tc>
          <w:tcPr>
            <w:tcW w:w="0" w:type="auto"/>
            <w:hideMark/>
          </w:tcPr>
          <w:p w14:paraId="4B975014"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CASP (2020)</w:t>
            </w:r>
          </w:p>
        </w:tc>
        <w:tc>
          <w:tcPr>
            <w:tcW w:w="0" w:type="auto"/>
            <w:hideMark/>
          </w:tcPr>
          <w:p w14:paraId="06E7F672"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8.5/10</w:t>
            </w:r>
          </w:p>
        </w:tc>
        <w:tc>
          <w:tcPr>
            <w:tcW w:w="0" w:type="auto"/>
            <w:hideMark/>
          </w:tcPr>
          <w:p w14:paraId="0BE62B77"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Segoe UI Emoji" w:hAnsi="Segoe UI Emoji" w:cs="Segoe UI Emoji"/>
                <w:sz w:val="24"/>
                <w:szCs w:val="24"/>
              </w:rPr>
              <w:t>⭐⭐⭐⭐⭐</w:t>
            </w:r>
            <w:r w:rsidRPr="002E3ED0">
              <w:rPr>
                <w:rFonts w:ascii="Times New Roman" w:hAnsi="Times New Roman" w:cs="Times New Roman"/>
                <w:sz w:val="24"/>
                <w:szCs w:val="24"/>
              </w:rPr>
              <w:t xml:space="preserve"> High</w:t>
            </w:r>
          </w:p>
        </w:tc>
      </w:tr>
      <w:tr w:rsidR="002E3ED0" w:rsidRPr="002E3ED0" w14:paraId="26288022" w14:textId="77777777" w:rsidTr="002E3ED0">
        <w:tc>
          <w:tcPr>
            <w:cnfStyle w:val="001000000000" w:firstRow="0" w:lastRow="0" w:firstColumn="1" w:lastColumn="0" w:oddVBand="0" w:evenVBand="0" w:oddHBand="0" w:evenHBand="0" w:firstRowFirstColumn="0" w:firstRowLastColumn="0" w:lastRowFirstColumn="0" w:lastRowLastColumn="0"/>
            <w:tcW w:w="0" w:type="auto"/>
            <w:hideMark/>
          </w:tcPr>
          <w:p w14:paraId="67293A6C" w14:textId="77777777" w:rsidR="002E3ED0" w:rsidRPr="002E3ED0" w:rsidRDefault="002E3ED0">
            <w:pPr>
              <w:spacing w:line="375" w:lineRule="atLeast"/>
              <w:rPr>
                <w:rFonts w:ascii="Times New Roman" w:hAnsi="Times New Roman" w:cs="Times New Roman"/>
                <w:sz w:val="24"/>
                <w:szCs w:val="24"/>
              </w:rPr>
            </w:pPr>
            <w:r w:rsidRPr="002E3ED0">
              <w:rPr>
                <w:rFonts w:ascii="Times New Roman" w:hAnsi="Times New Roman" w:cs="Times New Roman"/>
                <w:sz w:val="24"/>
                <w:szCs w:val="24"/>
              </w:rPr>
              <w:t>24</w:t>
            </w:r>
          </w:p>
        </w:tc>
        <w:tc>
          <w:tcPr>
            <w:tcW w:w="0" w:type="auto"/>
            <w:hideMark/>
          </w:tcPr>
          <w:p w14:paraId="33B31C59"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Trawnih et al. (2023)</w:t>
            </w:r>
          </w:p>
        </w:tc>
        <w:tc>
          <w:tcPr>
            <w:tcW w:w="0" w:type="auto"/>
            <w:hideMark/>
          </w:tcPr>
          <w:p w14:paraId="7953575F"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Quantitative (Survey)</w:t>
            </w:r>
          </w:p>
        </w:tc>
        <w:tc>
          <w:tcPr>
            <w:tcW w:w="0" w:type="auto"/>
            <w:hideMark/>
          </w:tcPr>
          <w:p w14:paraId="0D4BDDF0"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CASP (2020)</w:t>
            </w:r>
          </w:p>
        </w:tc>
        <w:tc>
          <w:tcPr>
            <w:tcW w:w="0" w:type="auto"/>
            <w:hideMark/>
          </w:tcPr>
          <w:p w14:paraId="328DEE92"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8.5/10</w:t>
            </w:r>
          </w:p>
        </w:tc>
        <w:tc>
          <w:tcPr>
            <w:tcW w:w="0" w:type="auto"/>
            <w:hideMark/>
          </w:tcPr>
          <w:p w14:paraId="0A061B3A" w14:textId="77777777" w:rsidR="002E3ED0" w:rsidRPr="002E3ED0" w:rsidRDefault="002E3ED0">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E3ED0">
              <w:rPr>
                <w:rFonts w:ascii="Segoe UI Emoji" w:hAnsi="Segoe UI Emoji" w:cs="Segoe UI Emoji"/>
                <w:sz w:val="24"/>
                <w:szCs w:val="24"/>
              </w:rPr>
              <w:t>⭐⭐⭐⭐⭐</w:t>
            </w:r>
            <w:r w:rsidRPr="002E3ED0">
              <w:rPr>
                <w:rFonts w:ascii="Times New Roman" w:hAnsi="Times New Roman" w:cs="Times New Roman"/>
                <w:sz w:val="24"/>
                <w:szCs w:val="24"/>
              </w:rPr>
              <w:t xml:space="preserve"> High</w:t>
            </w:r>
          </w:p>
        </w:tc>
      </w:tr>
      <w:tr w:rsidR="002E3ED0" w:rsidRPr="002E3ED0" w14:paraId="692DA04F" w14:textId="77777777" w:rsidTr="002E3E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C86D64" w14:textId="77777777" w:rsidR="002E3ED0" w:rsidRPr="002E3ED0" w:rsidRDefault="002E3ED0">
            <w:pPr>
              <w:spacing w:line="375" w:lineRule="atLeast"/>
              <w:rPr>
                <w:rFonts w:ascii="Times New Roman" w:hAnsi="Times New Roman" w:cs="Times New Roman"/>
                <w:sz w:val="24"/>
                <w:szCs w:val="24"/>
              </w:rPr>
            </w:pPr>
            <w:r w:rsidRPr="002E3ED0">
              <w:rPr>
                <w:rFonts w:ascii="Times New Roman" w:hAnsi="Times New Roman" w:cs="Times New Roman"/>
                <w:sz w:val="24"/>
                <w:szCs w:val="24"/>
              </w:rPr>
              <w:t>25</w:t>
            </w:r>
          </w:p>
        </w:tc>
        <w:tc>
          <w:tcPr>
            <w:tcW w:w="0" w:type="auto"/>
            <w:hideMark/>
          </w:tcPr>
          <w:p w14:paraId="76199BBF"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Yang (2025)</w:t>
            </w:r>
          </w:p>
        </w:tc>
        <w:tc>
          <w:tcPr>
            <w:tcW w:w="0" w:type="auto"/>
            <w:hideMark/>
          </w:tcPr>
          <w:p w14:paraId="4F78E97E"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Legal/Policy Analysis</w:t>
            </w:r>
          </w:p>
        </w:tc>
        <w:tc>
          <w:tcPr>
            <w:tcW w:w="0" w:type="auto"/>
            <w:hideMark/>
          </w:tcPr>
          <w:p w14:paraId="6CA27165"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CASP (2020)</w:t>
            </w:r>
          </w:p>
        </w:tc>
        <w:tc>
          <w:tcPr>
            <w:tcW w:w="0" w:type="auto"/>
            <w:hideMark/>
          </w:tcPr>
          <w:p w14:paraId="2EE51BBD"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Times New Roman" w:hAnsi="Times New Roman" w:cs="Times New Roman"/>
                <w:sz w:val="24"/>
                <w:szCs w:val="24"/>
              </w:rPr>
              <w:t>9.0/10</w:t>
            </w:r>
          </w:p>
        </w:tc>
        <w:tc>
          <w:tcPr>
            <w:tcW w:w="0" w:type="auto"/>
            <w:hideMark/>
          </w:tcPr>
          <w:p w14:paraId="2665F8CE" w14:textId="77777777" w:rsidR="002E3ED0" w:rsidRPr="002E3ED0" w:rsidRDefault="002E3ED0">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E3ED0">
              <w:rPr>
                <w:rFonts w:ascii="Segoe UI Emoji" w:hAnsi="Segoe UI Emoji" w:cs="Segoe UI Emoji"/>
                <w:sz w:val="24"/>
                <w:szCs w:val="24"/>
              </w:rPr>
              <w:t>⭐⭐⭐⭐⭐</w:t>
            </w:r>
            <w:r w:rsidRPr="002E3ED0">
              <w:rPr>
                <w:rFonts w:ascii="Times New Roman" w:hAnsi="Times New Roman" w:cs="Times New Roman"/>
                <w:sz w:val="24"/>
                <w:szCs w:val="24"/>
              </w:rPr>
              <w:t xml:space="preserve"> Excellent</w:t>
            </w:r>
          </w:p>
        </w:tc>
      </w:tr>
    </w:tbl>
    <w:p w14:paraId="1345DEFD" w14:textId="77777777" w:rsidR="002E3ED0" w:rsidRPr="002E3ED0" w:rsidRDefault="002E3ED0" w:rsidP="00491F46">
      <w:pPr>
        <w:spacing w:line="360" w:lineRule="auto"/>
        <w:jc w:val="center"/>
        <w:rPr>
          <w:rFonts w:ascii="Times New Roman" w:hAnsi="Times New Roman" w:cs="Times New Roman"/>
          <w:b/>
          <w:bCs/>
          <w:sz w:val="24"/>
          <w:szCs w:val="24"/>
        </w:rPr>
      </w:pPr>
    </w:p>
    <w:p w14:paraId="5EB0D1A4" w14:textId="77777777" w:rsidR="002E3ED0" w:rsidRPr="002E3ED0" w:rsidRDefault="002E3ED0">
      <w:pPr>
        <w:spacing w:after="160" w:line="259" w:lineRule="auto"/>
        <w:rPr>
          <w:rFonts w:ascii="Times New Roman" w:hAnsi="Times New Roman" w:cs="Times New Roman"/>
          <w:b/>
          <w:bCs/>
          <w:sz w:val="24"/>
          <w:szCs w:val="24"/>
        </w:rPr>
      </w:pPr>
      <w:r w:rsidRPr="002E3ED0">
        <w:rPr>
          <w:rFonts w:ascii="Times New Roman" w:hAnsi="Times New Roman" w:cs="Times New Roman"/>
          <w:b/>
          <w:bCs/>
          <w:sz w:val="24"/>
          <w:szCs w:val="24"/>
        </w:rPr>
        <w:br w:type="page"/>
      </w:r>
    </w:p>
    <w:p w14:paraId="6C51EA77" w14:textId="080181E4" w:rsidR="0025521E" w:rsidRPr="002E3ED0" w:rsidRDefault="00491F46" w:rsidP="00BC0071">
      <w:pPr>
        <w:pStyle w:val="Heading2"/>
      </w:pPr>
      <w:bookmarkStart w:id="72" w:name="_Toc238751520"/>
      <w:r w:rsidRPr="002E3ED0">
        <w:lastRenderedPageBreak/>
        <w:t xml:space="preserve">Appendix </w:t>
      </w:r>
      <w:r w:rsidR="002E3ED0" w:rsidRPr="002E3ED0">
        <w:t>C</w:t>
      </w:r>
      <w:r w:rsidRPr="002E3ED0">
        <w:t xml:space="preserve">: Table </w:t>
      </w:r>
      <w:r w:rsidR="002E3ED0" w:rsidRPr="002E3ED0">
        <w:t>3</w:t>
      </w:r>
      <w:r w:rsidRPr="002E3ED0">
        <w:t>: Thematic Analysis Data Extraction</w:t>
      </w:r>
      <w:bookmarkEnd w:id="72"/>
    </w:p>
    <w:tbl>
      <w:tblPr>
        <w:tblStyle w:val="GridTable4-Accent1"/>
        <w:tblW w:w="12023" w:type="dxa"/>
        <w:tblInd w:w="-1355" w:type="dxa"/>
        <w:tblLook w:val="04A0" w:firstRow="1" w:lastRow="0" w:firstColumn="1" w:lastColumn="0" w:noHBand="0" w:noVBand="1"/>
      </w:tblPr>
      <w:tblGrid>
        <w:gridCol w:w="5040"/>
        <w:gridCol w:w="1898"/>
        <w:gridCol w:w="1583"/>
        <w:gridCol w:w="1839"/>
        <w:gridCol w:w="1663"/>
      </w:tblGrid>
      <w:tr w:rsidR="00491F46" w:rsidRPr="002E3ED0" w14:paraId="01C5D160" w14:textId="77777777" w:rsidTr="00EA6D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40" w:type="dxa"/>
            <w:hideMark/>
          </w:tcPr>
          <w:p w14:paraId="1D9CD112" w14:textId="77777777" w:rsidR="00491F46" w:rsidRPr="002E3ED0" w:rsidRDefault="00491F46" w:rsidP="00EA6DB7">
            <w:pPr>
              <w:spacing w:line="375" w:lineRule="atLeast"/>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Original Text (from study)</w:t>
            </w:r>
          </w:p>
        </w:tc>
        <w:tc>
          <w:tcPr>
            <w:tcW w:w="0" w:type="auto"/>
            <w:hideMark/>
          </w:tcPr>
          <w:p w14:paraId="240D5112" w14:textId="77777777" w:rsidR="00491F46" w:rsidRPr="002E3ED0" w:rsidRDefault="00491F46" w:rsidP="00EA6DB7">
            <w:pPr>
              <w:spacing w:line="375" w:lineRule="atLeas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Descriptive Keyword</w:t>
            </w:r>
          </w:p>
        </w:tc>
        <w:tc>
          <w:tcPr>
            <w:tcW w:w="0" w:type="auto"/>
            <w:hideMark/>
          </w:tcPr>
          <w:p w14:paraId="2DEBD57D" w14:textId="77777777" w:rsidR="00491F46" w:rsidRPr="002E3ED0" w:rsidRDefault="00491F46" w:rsidP="00EA6DB7">
            <w:pPr>
              <w:spacing w:line="375" w:lineRule="atLeas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Code</w:t>
            </w:r>
          </w:p>
        </w:tc>
        <w:tc>
          <w:tcPr>
            <w:tcW w:w="0" w:type="auto"/>
            <w:hideMark/>
          </w:tcPr>
          <w:p w14:paraId="4B69EDDB" w14:textId="77777777" w:rsidR="00491F46" w:rsidRPr="002E3ED0" w:rsidRDefault="00491F46" w:rsidP="00EA6DB7">
            <w:pPr>
              <w:spacing w:line="375" w:lineRule="atLeas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Sub-theme</w:t>
            </w:r>
          </w:p>
        </w:tc>
        <w:tc>
          <w:tcPr>
            <w:tcW w:w="0" w:type="auto"/>
            <w:hideMark/>
          </w:tcPr>
          <w:p w14:paraId="39D6D568" w14:textId="77777777" w:rsidR="00491F46" w:rsidRPr="002E3ED0" w:rsidRDefault="00491F46" w:rsidP="00EA6DB7">
            <w:pPr>
              <w:spacing w:line="375" w:lineRule="atLeas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Theme</w:t>
            </w:r>
          </w:p>
        </w:tc>
      </w:tr>
      <w:tr w:rsidR="00491F46" w:rsidRPr="002E3ED0" w14:paraId="6B944790" w14:textId="77777777" w:rsidTr="00EA6D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40" w:type="dxa"/>
            <w:hideMark/>
          </w:tcPr>
          <w:p w14:paraId="1CFDF425" w14:textId="77777777" w:rsidR="00491F46" w:rsidRPr="002E3ED0" w:rsidRDefault="00491F46" w:rsidP="00EA6DB7">
            <w:pPr>
              <w:spacing w:line="375" w:lineRule="atLeast"/>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"Cybersecurity knowledge and awareness positively influenced e-banking usage intention" (Afzal et al., 2024)</w:t>
            </w:r>
          </w:p>
        </w:tc>
        <w:tc>
          <w:tcPr>
            <w:tcW w:w="0" w:type="auto"/>
            <w:hideMark/>
          </w:tcPr>
          <w:p w14:paraId="558BDF9F"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Cybersecurity awareness</w:t>
            </w:r>
          </w:p>
        </w:tc>
        <w:tc>
          <w:tcPr>
            <w:tcW w:w="0" w:type="auto"/>
            <w:hideMark/>
          </w:tcPr>
          <w:p w14:paraId="720EBFBC"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Secure digital systems</w:t>
            </w:r>
          </w:p>
        </w:tc>
        <w:tc>
          <w:tcPr>
            <w:tcW w:w="0" w:type="auto"/>
            <w:hideMark/>
          </w:tcPr>
          <w:p w14:paraId="3ADE7B7E"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Cybersecurity and secure digital systems</w:t>
            </w:r>
          </w:p>
        </w:tc>
        <w:tc>
          <w:tcPr>
            <w:tcW w:w="0" w:type="auto"/>
            <w:hideMark/>
          </w:tcPr>
          <w:p w14:paraId="043475B5"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Technological Factors</w:t>
            </w:r>
          </w:p>
        </w:tc>
      </w:tr>
      <w:tr w:rsidR="00491F46" w:rsidRPr="002E3ED0" w14:paraId="41C6A792" w14:textId="77777777" w:rsidTr="00EA6DB7">
        <w:tc>
          <w:tcPr>
            <w:cnfStyle w:val="001000000000" w:firstRow="0" w:lastRow="0" w:firstColumn="1" w:lastColumn="0" w:oddVBand="0" w:evenVBand="0" w:oddHBand="0" w:evenHBand="0" w:firstRowFirstColumn="0" w:firstRowLastColumn="0" w:lastRowFirstColumn="0" w:lastRowLastColumn="0"/>
            <w:tcW w:w="5040" w:type="dxa"/>
            <w:hideMark/>
          </w:tcPr>
          <w:p w14:paraId="328A62F6" w14:textId="43D4D01C" w:rsidR="00491F46" w:rsidRPr="002E3ED0" w:rsidRDefault="00491F46" w:rsidP="00EA6DB7">
            <w:pPr>
              <w:spacing w:line="375" w:lineRule="atLeast"/>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"Perceived security is better understood as a composite of authentication confidence, transaction-monitoring visibility and platform reputation" (Apaua</w:t>
            </w:r>
            <w:r w:rsidR="002E3ED0" w:rsidRPr="002E3ED0">
              <w:rPr>
                <w:rFonts w:ascii="Times New Roman" w:eastAsia="Times New Roman" w:hAnsi="Times New Roman" w:cs="Times New Roman"/>
                <w:sz w:val="24"/>
                <w:szCs w:val="24"/>
              </w:rPr>
              <w:t>, Titis</w:t>
            </w:r>
            <w:r w:rsidRPr="002E3ED0">
              <w:rPr>
                <w:rFonts w:ascii="Times New Roman" w:eastAsia="Times New Roman" w:hAnsi="Times New Roman" w:cs="Times New Roman"/>
                <w:sz w:val="24"/>
                <w:szCs w:val="24"/>
              </w:rPr>
              <w:t xml:space="preserve"> and Lallie, </w:t>
            </w:r>
            <w:r w:rsidR="002E3ED0" w:rsidRPr="002E3ED0">
              <w:rPr>
                <w:rFonts w:ascii="Times New Roman" w:eastAsia="Times New Roman" w:hAnsi="Times New Roman" w:cs="Times New Roman"/>
                <w:sz w:val="24"/>
                <w:szCs w:val="24"/>
              </w:rPr>
              <w:t>2025</w:t>
            </w:r>
            <w:r w:rsidRPr="002E3ED0">
              <w:rPr>
                <w:rFonts w:ascii="Times New Roman" w:eastAsia="Times New Roman" w:hAnsi="Times New Roman" w:cs="Times New Roman"/>
                <w:sz w:val="24"/>
                <w:szCs w:val="24"/>
              </w:rPr>
              <w:t>)</w:t>
            </w:r>
          </w:p>
        </w:tc>
        <w:tc>
          <w:tcPr>
            <w:tcW w:w="0" w:type="auto"/>
            <w:hideMark/>
          </w:tcPr>
          <w:p w14:paraId="020356C1"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Perceived security dimensions</w:t>
            </w:r>
          </w:p>
        </w:tc>
        <w:tc>
          <w:tcPr>
            <w:tcW w:w="0" w:type="auto"/>
            <w:hideMark/>
          </w:tcPr>
          <w:p w14:paraId="5523E65B"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Secure digital systems</w:t>
            </w:r>
          </w:p>
        </w:tc>
        <w:tc>
          <w:tcPr>
            <w:tcW w:w="0" w:type="auto"/>
            <w:hideMark/>
          </w:tcPr>
          <w:p w14:paraId="5D490C66"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Cybersecurity and secure digital systems</w:t>
            </w:r>
          </w:p>
        </w:tc>
        <w:tc>
          <w:tcPr>
            <w:tcW w:w="0" w:type="auto"/>
            <w:hideMark/>
          </w:tcPr>
          <w:p w14:paraId="566D7FA4"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Technological Factors</w:t>
            </w:r>
          </w:p>
        </w:tc>
      </w:tr>
      <w:tr w:rsidR="00491F46" w:rsidRPr="002E3ED0" w14:paraId="4FC9A2D4" w14:textId="77777777" w:rsidTr="00EA6D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40" w:type="dxa"/>
            <w:hideMark/>
          </w:tcPr>
          <w:p w14:paraId="7D176294" w14:textId="77777777" w:rsidR="00491F46" w:rsidRPr="002E3ED0" w:rsidRDefault="00491F46" w:rsidP="00EA6DB7">
            <w:pPr>
              <w:spacing w:line="375" w:lineRule="atLeast"/>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"Security perception and trust operated as distinct, only partially overlapping predictors of continued use" (Apau, Titis and Lallie, 2025)</w:t>
            </w:r>
          </w:p>
        </w:tc>
        <w:tc>
          <w:tcPr>
            <w:tcW w:w="0" w:type="auto"/>
            <w:hideMark/>
          </w:tcPr>
          <w:p w14:paraId="052DC01B"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Security vs trust distinction</w:t>
            </w:r>
          </w:p>
        </w:tc>
        <w:tc>
          <w:tcPr>
            <w:tcW w:w="0" w:type="auto"/>
            <w:hideMark/>
          </w:tcPr>
          <w:p w14:paraId="472F747F"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Secure digital systems</w:t>
            </w:r>
          </w:p>
        </w:tc>
        <w:tc>
          <w:tcPr>
            <w:tcW w:w="0" w:type="auto"/>
            <w:hideMark/>
          </w:tcPr>
          <w:p w14:paraId="0294F7D2"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Cybersecurity and secure digital systems</w:t>
            </w:r>
          </w:p>
        </w:tc>
        <w:tc>
          <w:tcPr>
            <w:tcW w:w="0" w:type="auto"/>
            <w:hideMark/>
          </w:tcPr>
          <w:p w14:paraId="27F3D1F0"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Technological Factors</w:t>
            </w:r>
          </w:p>
        </w:tc>
      </w:tr>
      <w:tr w:rsidR="00491F46" w:rsidRPr="002E3ED0" w14:paraId="7AC50B23" w14:textId="77777777" w:rsidTr="00EA6DB7">
        <w:tc>
          <w:tcPr>
            <w:cnfStyle w:val="001000000000" w:firstRow="0" w:lastRow="0" w:firstColumn="1" w:lastColumn="0" w:oddVBand="0" w:evenVBand="0" w:oddHBand="0" w:evenHBand="0" w:firstRowFirstColumn="0" w:firstRowLastColumn="0" w:lastRowFirstColumn="0" w:lastRowLastColumn="0"/>
            <w:tcW w:w="5040" w:type="dxa"/>
            <w:hideMark/>
          </w:tcPr>
          <w:p w14:paraId="05788A2B" w14:textId="77777777" w:rsidR="00491F46" w:rsidRPr="002E3ED0" w:rsidRDefault="00491F46" w:rsidP="00EA6DB7">
            <w:pPr>
              <w:spacing w:line="375" w:lineRule="atLeast"/>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"Attitude toward biometric authentication shaped perceived ease of use and perceived security" (Bhat, Islam and Mir, 2024)</w:t>
            </w:r>
          </w:p>
        </w:tc>
        <w:tc>
          <w:tcPr>
            <w:tcW w:w="0" w:type="auto"/>
            <w:hideMark/>
          </w:tcPr>
          <w:p w14:paraId="7C593D5A"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Biometric authentication</w:t>
            </w:r>
          </w:p>
        </w:tc>
        <w:tc>
          <w:tcPr>
            <w:tcW w:w="0" w:type="auto"/>
            <w:hideMark/>
          </w:tcPr>
          <w:p w14:paraId="0693AC92"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Secure digital systems</w:t>
            </w:r>
          </w:p>
        </w:tc>
        <w:tc>
          <w:tcPr>
            <w:tcW w:w="0" w:type="auto"/>
            <w:hideMark/>
          </w:tcPr>
          <w:p w14:paraId="6A500EB7"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Cybersecurity and secure digital systems</w:t>
            </w:r>
          </w:p>
        </w:tc>
        <w:tc>
          <w:tcPr>
            <w:tcW w:w="0" w:type="auto"/>
            <w:hideMark/>
          </w:tcPr>
          <w:p w14:paraId="1C516CBB"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Technological Factors</w:t>
            </w:r>
          </w:p>
        </w:tc>
      </w:tr>
      <w:tr w:rsidR="00491F46" w:rsidRPr="002E3ED0" w14:paraId="4CCF4C7F" w14:textId="77777777" w:rsidTr="00EA6D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40" w:type="dxa"/>
            <w:hideMark/>
          </w:tcPr>
          <w:p w14:paraId="7449294F" w14:textId="77777777" w:rsidR="00491F46" w:rsidRPr="002E3ED0" w:rsidRDefault="00491F46" w:rsidP="00EA6DB7">
            <w:pPr>
              <w:spacing w:line="375" w:lineRule="atLeast"/>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"Perceived risk and perceived benefit operated as competing, simultaneous influences on adoption intention" (Trawnih et al., 2023)</w:t>
            </w:r>
          </w:p>
        </w:tc>
        <w:tc>
          <w:tcPr>
            <w:tcW w:w="0" w:type="auto"/>
            <w:hideMark/>
          </w:tcPr>
          <w:p w14:paraId="35C2B59C"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Risk-benefit competition</w:t>
            </w:r>
          </w:p>
        </w:tc>
        <w:tc>
          <w:tcPr>
            <w:tcW w:w="0" w:type="auto"/>
            <w:hideMark/>
          </w:tcPr>
          <w:p w14:paraId="09BDE988"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Secure digital systems</w:t>
            </w:r>
          </w:p>
        </w:tc>
        <w:tc>
          <w:tcPr>
            <w:tcW w:w="0" w:type="auto"/>
            <w:hideMark/>
          </w:tcPr>
          <w:p w14:paraId="55B4C14D"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Cybersecurity and secure digital systems</w:t>
            </w:r>
          </w:p>
        </w:tc>
        <w:tc>
          <w:tcPr>
            <w:tcW w:w="0" w:type="auto"/>
            <w:hideMark/>
          </w:tcPr>
          <w:p w14:paraId="126877F9"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Technological Factors</w:t>
            </w:r>
          </w:p>
        </w:tc>
      </w:tr>
      <w:tr w:rsidR="00491F46" w:rsidRPr="002E3ED0" w14:paraId="3B09398B" w14:textId="77777777" w:rsidTr="00EA6DB7">
        <w:tc>
          <w:tcPr>
            <w:cnfStyle w:val="001000000000" w:firstRow="0" w:lastRow="0" w:firstColumn="1" w:lastColumn="0" w:oddVBand="0" w:evenVBand="0" w:oddHBand="0" w:evenHBand="0" w:firstRowFirstColumn="0" w:firstRowLastColumn="0" w:lastRowFirstColumn="0" w:lastRowLastColumn="0"/>
            <w:tcW w:w="5040" w:type="dxa"/>
            <w:hideMark/>
          </w:tcPr>
          <w:p w14:paraId="47B67117" w14:textId="78E396A7" w:rsidR="00491F46" w:rsidRPr="002E3ED0" w:rsidRDefault="00491F46" w:rsidP="00EA6DB7">
            <w:pPr>
              <w:spacing w:line="375" w:lineRule="atLeast"/>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w:t>
            </w:r>
            <w:r w:rsidR="002E3ED0" w:rsidRPr="002E3ED0">
              <w:rPr>
                <w:rFonts w:ascii="Times New Roman" w:eastAsia="Times New Roman" w:hAnsi="Times New Roman" w:cs="Times New Roman"/>
                <w:sz w:val="24"/>
                <w:szCs w:val="24"/>
              </w:rPr>
              <w:t>Cybersecurity breaches can damage corporate reputation by diminishing stakeholder trust. Following cyberattacks, stakeholders negatively reassess the breached firm and impose penalties in the process of repeated contracting, leading to increased future costs</w:t>
            </w:r>
            <w:r w:rsidRPr="002E3ED0">
              <w:rPr>
                <w:rFonts w:ascii="Times New Roman" w:eastAsia="Times New Roman" w:hAnsi="Times New Roman" w:cs="Times New Roman"/>
                <w:sz w:val="24"/>
                <w:szCs w:val="24"/>
              </w:rPr>
              <w:t>" (Liu and Babar, 2024)</w:t>
            </w:r>
          </w:p>
        </w:tc>
        <w:tc>
          <w:tcPr>
            <w:tcW w:w="0" w:type="auto"/>
            <w:hideMark/>
          </w:tcPr>
          <w:p w14:paraId="3D1D47BD"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Breach consequences</w:t>
            </w:r>
          </w:p>
        </w:tc>
        <w:tc>
          <w:tcPr>
            <w:tcW w:w="0" w:type="auto"/>
            <w:hideMark/>
          </w:tcPr>
          <w:p w14:paraId="2755E2F8"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Secure digital systems</w:t>
            </w:r>
          </w:p>
        </w:tc>
        <w:tc>
          <w:tcPr>
            <w:tcW w:w="0" w:type="auto"/>
            <w:hideMark/>
          </w:tcPr>
          <w:p w14:paraId="24F11E9C"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Cybersecurity and secure digital systems</w:t>
            </w:r>
          </w:p>
        </w:tc>
        <w:tc>
          <w:tcPr>
            <w:tcW w:w="0" w:type="auto"/>
            <w:hideMark/>
          </w:tcPr>
          <w:p w14:paraId="51300A55"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Technological Factors</w:t>
            </w:r>
          </w:p>
        </w:tc>
      </w:tr>
      <w:tr w:rsidR="00491F46" w:rsidRPr="002E3ED0" w14:paraId="4F4B53EA" w14:textId="77777777" w:rsidTr="00EA6D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40" w:type="dxa"/>
            <w:hideMark/>
          </w:tcPr>
          <w:p w14:paraId="6BF15B17" w14:textId="77777777" w:rsidR="00491F46" w:rsidRPr="002E3ED0" w:rsidRDefault="00491F46" w:rsidP="00EA6DB7">
            <w:pPr>
              <w:spacing w:line="375" w:lineRule="atLeast"/>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"Identified concrete weaknesses in token freshness and authorisation-code handling in UK Open Banking API protocol" (Modesti et al., 2025)</w:t>
            </w:r>
          </w:p>
        </w:tc>
        <w:tc>
          <w:tcPr>
            <w:tcW w:w="0" w:type="auto"/>
            <w:hideMark/>
          </w:tcPr>
          <w:p w14:paraId="25407A24"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API protocol vulnerabilities</w:t>
            </w:r>
          </w:p>
        </w:tc>
        <w:tc>
          <w:tcPr>
            <w:tcW w:w="0" w:type="auto"/>
            <w:hideMark/>
          </w:tcPr>
          <w:p w14:paraId="359A896D"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Secure digital systems</w:t>
            </w:r>
          </w:p>
        </w:tc>
        <w:tc>
          <w:tcPr>
            <w:tcW w:w="0" w:type="auto"/>
            <w:hideMark/>
          </w:tcPr>
          <w:p w14:paraId="0496E5FB"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Cybersecurity and secure digital systems</w:t>
            </w:r>
          </w:p>
        </w:tc>
        <w:tc>
          <w:tcPr>
            <w:tcW w:w="0" w:type="auto"/>
            <w:hideMark/>
          </w:tcPr>
          <w:p w14:paraId="2C017752"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Technological Factors</w:t>
            </w:r>
          </w:p>
        </w:tc>
      </w:tr>
      <w:tr w:rsidR="00491F46" w:rsidRPr="002E3ED0" w14:paraId="5C1FBFE1" w14:textId="77777777" w:rsidTr="00EA6DB7">
        <w:tc>
          <w:tcPr>
            <w:cnfStyle w:val="001000000000" w:firstRow="0" w:lastRow="0" w:firstColumn="1" w:lastColumn="0" w:oddVBand="0" w:evenVBand="0" w:oddHBand="0" w:evenHBand="0" w:firstRowFirstColumn="0" w:firstRowLastColumn="0" w:lastRowFirstColumn="0" w:lastRowLastColumn="0"/>
            <w:tcW w:w="5040" w:type="dxa"/>
            <w:hideMark/>
          </w:tcPr>
          <w:p w14:paraId="17DF0AA8" w14:textId="77777777" w:rsidR="00491F46" w:rsidRPr="002E3ED0" w:rsidRDefault="00491F46" w:rsidP="00EA6DB7">
            <w:pPr>
              <w:spacing w:line="375" w:lineRule="atLeast"/>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"Privacy directly and positively predicted both trust and perceived ease of use" (Martinez-</w:t>
            </w:r>
            <w:r w:rsidRPr="002E3ED0">
              <w:rPr>
                <w:rFonts w:ascii="Times New Roman" w:eastAsia="Times New Roman" w:hAnsi="Times New Roman" w:cs="Times New Roman"/>
                <w:sz w:val="24"/>
                <w:szCs w:val="24"/>
              </w:rPr>
              <w:lastRenderedPageBreak/>
              <w:t>Navalon, Fernandez-Fernandez and Pedrosa Alberto, 2023)</w:t>
            </w:r>
          </w:p>
        </w:tc>
        <w:tc>
          <w:tcPr>
            <w:tcW w:w="0" w:type="auto"/>
            <w:hideMark/>
          </w:tcPr>
          <w:p w14:paraId="62A88FEB"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lastRenderedPageBreak/>
              <w:t>Privacy-trust link</w:t>
            </w:r>
          </w:p>
        </w:tc>
        <w:tc>
          <w:tcPr>
            <w:tcW w:w="0" w:type="auto"/>
            <w:hideMark/>
          </w:tcPr>
          <w:p w14:paraId="77A60FBF"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Data privacy and protection</w:t>
            </w:r>
          </w:p>
        </w:tc>
        <w:tc>
          <w:tcPr>
            <w:tcW w:w="0" w:type="auto"/>
            <w:hideMark/>
          </w:tcPr>
          <w:p w14:paraId="38B70960"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Privacy protection and data security</w:t>
            </w:r>
          </w:p>
        </w:tc>
        <w:tc>
          <w:tcPr>
            <w:tcW w:w="0" w:type="auto"/>
            <w:hideMark/>
          </w:tcPr>
          <w:p w14:paraId="60EF6C6F"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Technological Factors</w:t>
            </w:r>
          </w:p>
        </w:tc>
      </w:tr>
      <w:tr w:rsidR="00491F46" w:rsidRPr="002E3ED0" w14:paraId="1BB97FB9" w14:textId="77777777" w:rsidTr="00EA6D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40" w:type="dxa"/>
            <w:hideMark/>
          </w:tcPr>
          <w:p w14:paraId="4911079C" w14:textId="77777777" w:rsidR="00491F46" w:rsidRPr="002E3ED0" w:rsidRDefault="00491F46" w:rsidP="00EA6DB7">
            <w:pPr>
              <w:spacing w:line="375" w:lineRule="atLeast"/>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"Users' appropriation of privacy and security features predicted continued adoption" (Ali et al., 2023)</w:t>
            </w:r>
          </w:p>
        </w:tc>
        <w:tc>
          <w:tcPr>
            <w:tcW w:w="0" w:type="auto"/>
            <w:hideMark/>
          </w:tcPr>
          <w:p w14:paraId="2D5DC297"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Feature appropriation</w:t>
            </w:r>
          </w:p>
        </w:tc>
        <w:tc>
          <w:tcPr>
            <w:tcW w:w="0" w:type="auto"/>
            <w:hideMark/>
          </w:tcPr>
          <w:p w14:paraId="00FEE94F"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Data privacy and protection</w:t>
            </w:r>
          </w:p>
        </w:tc>
        <w:tc>
          <w:tcPr>
            <w:tcW w:w="0" w:type="auto"/>
            <w:hideMark/>
          </w:tcPr>
          <w:p w14:paraId="4E4935FE"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Privacy protection and data security</w:t>
            </w:r>
          </w:p>
        </w:tc>
        <w:tc>
          <w:tcPr>
            <w:tcW w:w="0" w:type="auto"/>
            <w:hideMark/>
          </w:tcPr>
          <w:p w14:paraId="69A93740"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Technological Factors</w:t>
            </w:r>
          </w:p>
        </w:tc>
      </w:tr>
      <w:tr w:rsidR="00491F46" w:rsidRPr="002E3ED0" w14:paraId="587DC2BD" w14:textId="77777777" w:rsidTr="00EA6DB7">
        <w:tc>
          <w:tcPr>
            <w:cnfStyle w:val="001000000000" w:firstRow="0" w:lastRow="0" w:firstColumn="1" w:lastColumn="0" w:oddVBand="0" w:evenVBand="0" w:oddHBand="0" w:evenHBand="0" w:firstRowFirstColumn="0" w:firstRowLastColumn="0" w:lastRowFirstColumn="0" w:lastRowLastColumn="0"/>
            <w:tcW w:w="5040" w:type="dxa"/>
            <w:hideMark/>
          </w:tcPr>
          <w:p w14:paraId="36659E25" w14:textId="77777777" w:rsidR="00491F46" w:rsidRPr="002E3ED0" w:rsidRDefault="00491F46" w:rsidP="00EA6DB7">
            <w:pPr>
              <w:spacing w:line="375" w:lineRule="atLeast"/>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"Continuous trust was predicted by perceived ease of use, privacy assurance, security features, organisational reputation and customer support" (Che et al., 2023)</w:t>
            </w:r>
          </w:p>
        </w:tc>
        <w:tc>
          <w:tcPr>
            <w:tcW w:w="0" w:type="auto"/>
            <w:hideMark/>
          </w:tcPr>
          <w:p w14:paraId="7370C549"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Privacy assurance and trust</w:t>
            </w:r>
          </w:p>
        </w:tc>
        <w:tc>
          <w:tcPr>
            <w:tcW w:w="0" w:type="auto"/>
            <w:hideMark/>
          </w:tcPr>
          <w:p w14:paraId="484D652D"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Data privacy and protection</w:t>
            </w:r>
          </w:p>
        </w:tc>
        <w:tc>
          <w:tcPr>
            <w:tcW w:w="0" w:type="auto"/>
            <w:hideMark/>
          </w:tcPr>
          <w:p w14:paraId="5C2F394D"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Privacy protection and data security</w:t>
            </w:r>
          </w:p>
        </w:tc>
        <w:tc>
          <w:tcPr>
            <w:tcW w:w="0" w:type="auto"/>
            <w:hideMark/>
          </w:tcPr>
          <w:p w14:paraId="1AB62387"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Technological Factors</w:t>
            </w:r>
          </w:p>
        </w:tc>
      </w:tr>
      <w:tr w:rsidR="00491F46" w:rsidRPr="002E3ED0" w14:paraId="65964EBF" w14:textId="77777777" w:rsidTr="00EA6D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40" w:type="dxa"/>
            <w:hideMark/>
          </w:tcPr>
          <w:p w14:paraId="6BA4BE8C" w14:textId="77777777" w:rsidR="00491F46" w:rsidRPr="002E3ED0" w:rsidRDefault="00491F46" w:rsidP="00EA6DB7">
            <w:pPr>
              <w:spacing w:line="375" w:lineRule="atLeast"/>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"Perceived intelligence and anthropomorphism in AI-driven banking shaped continuance intention through trust" (Lee, Tang and Jiang, 2023)</w:t>
            </w:r>
          </w:p>
        </w:tc>
        <w:tc>
          <w:tcPr>
            <w:tcW w:w="0" w:type="auto"/>
            <w:hideMark/>
          </w:tcPr>
          <w:p w14:paraId="2A2F04A9"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AI features and trust</w:t>
            </w:r>
          </w:p>
        </w:tc>
        <w:tc>
          <w:tcPr>
            <w:tcW w:w="0" w:type="auto"/>
            <w:hideMark/>
          </w:tcPr>
          <w:p w14:paraId="68D28E59"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Data privacy and protection</w:t>
            </w:r>
          </w:p>
        </w:tc>
        <w:tc>
          <w:tcPr>
            <w:tcW w:w="0" w:type="auto"/>
            <w:hideMark/>
          </w:tcPr>
          <w:p w14:paraId="70ABED0E"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Privacy protection and data security</w:t>
            </w:r>
          </w:p>
        </w:tc>
        <w:tc>
          <w:tcPr>
            <w:tcW w:w="0" w:type="auto"/>
            <w:hideMark/>
          </w:tcPr>
          <w:p w14:paraId="0EB2348A"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Technological Factors</w:t>
            </w:r>
          </w:p>
        </w:tc>
      </w:tr>
      <w:tr w:rsidR="00491F46" w:rsidRPr="002E3ED0" w14:paraId="52010732" w14:textId="77777777" w:rsidTr="00EA6DB7">
        <w:tc>
          <w:tcPr>
            <w:cnfStyle w:val="001000000000" w:firstRow="0" w:lastRow="0" w:firstColumn="1" w:lastColumn="0" w:oddVBand="0" w:evenVBand="0" w:oddHBand="0" w:evenHBand="0" w:firstRowFirstColumn="0" w:firstRowLastColumn="0" w:lastRowFirstColumn="0" w:lastRowLastColumn="0"/>
            <w:tcW w:w="5040" w:type="dxa"/>
            <w:hideMark/>
          </w:tcPr>
          <w:p w14:paraId="5257F391" w14:textId="77777777" w:rsidR="00491F46" w:rsidRPr="002E3ED0" w:rsidRDefault="00491F46" w:rsidP="00EA6DB7">
            <w:pPr>
              <w:spacing w:line="375" w:lineRule="atLeast"/>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"Inadequate internal governance controls were the most commonly identified cause of privacy-related trust breaches" (Aldboush and Ferdous, 2023)</w:t>
            </w:r>
          </w:p>
        </w:tc>
        <w:tc>
          <w:tcPr>
            <w:tcW w:w="0" w:type="auto"/>
            <w:hideMark/>
          </w:tcPr>
          <w:p w14:paraId="1327D706"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Governance failures</w:t>
            </w:r>
          </w:p>
        </w:tc>
        <w:tc>
          <w:tcPr>
            <w:tcW w:w="0" w:type="auto"/>
            <w:hideMark/>
          </w:tcPr>
          <w:p w14:paraId="7A70B062"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Data privacy and protection</w:t>
            </w:r>
          </w:p>
        </w:tc>
        <w:tc>
          <w:tcPr>
            <w:tcW w:w="0" w:type="auto"/>
            <w:hideMark/>
          </w:tcPr>
          <w:p w14:paraId="502B8A13"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Privacy protection and data security</w:t>
            </w:r>
          </w:p>
        </w:tc>
        <w:tc>
          <w:tcPr>
            <w:tcW w:w="0" w:type="auto"/>
            <w:hideMark/>
          </w:tcPr>
          <w:p w14:paraId="315CD917"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Technological Factors</w:t>
            </w:r>
          </w:p>
        </w:tc>
      </w:tr>
      <w:tr w:rsidR="00491F46" w:rsidRPr="002E3ED0" w14:paraId="5AC1709B" w14:textId="77777777" w:rsidTr="00EA6D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40" w:type="dxa"/>
            <w:hideMark/>
          </w:tcPr>
          <w:p w14:paraId="0C7DD9B7" w14:textId="77777777" w:rsidR="00491F46" w:rsidRPr="002E3ED0" w:rsidRDefault="00491F46" w:rsidP="00EA6DB7">
            <w:pPr>
              <w:spacing w:line="375" w:lineRule="atLeast"/>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"Customers' expectations and perceived risks jointly predicted satisfaction, with data misuse and transaction error rated as more salient than system downtime" (Barjaktarovic Rakocevic, Rakic and Rakocevic, 2025)</w:t>
            </w:r>
          </w:p>
        </w:tc>
        <w:tc>
          <w:tcPr>
            <w:tcW w:w="0" w:type="auto"/>
            <w:hideMark/>
          </w:tcPr>
          <w:p w14:paraId="5315FF12"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Risk type salience</w:t>
            </w:r>
          </w:p>
        </w:tc>
        <w:tc>
          <w:tcPr>
            <w:tcW w:w="0" w:type="auto"/>
            <w:hideMark/>
          </w:tcPr>
          <w:p w14:paraId="0DE73B38"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Customer risk perception</w:t>
            </w:r>
          </w:p>
        </w:tc>
        <w:tc>
          <w:tcPr>
            <w:tcW w:w="0" w:type="auto"/>
            <w:hideMark/>
          </w:tcPr>
          <w:p w14:paraId="7AD79979"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Perceived risk and customer risk perception</w:t>
            </w:r>
          </w:p>
        </w:tc>
        <w:tc>
          <w:tcPr>
            <w:tcW w:w="0" w:type="auto"/>
            <w:hideMark/>
          </w:tcPr>
          <w:p w14:paraId="3C27B7C2"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Behavioural Factors</w:t>
            </w:r>
          </w:p>
        </w:tc>
      </w:tr>
      <w:tr w:rsidR="00491F46" w:rsidRPr="002E3ED0" w14:paraId="03CA0250" w14:textId="77777777" w:rsidTr="00EA6DB7">
        <w:tc>
          <w:tcPr>
            <w:cnfStyle w:val="001000000000" w:firstRow="0" w:lastRow="0" w:firstColumn="1" w:lastColumn="0" w:oddVBand="0" w:evenVBand="0" w:oddHBand="0" w:evenHBand="0" w:firstRowFirstColumn="0" w:firstRowLastColumn="0" w:lastRowFirstColumn="0" w:lastRowLastColumn="0"/>
            <w:tcW w:w="5040" w:type="dxa"/>
            <w:hideMark/>
          </w:tcPr>
          <w:p w14:paraId="4A09D010" w14:textId="21C917F9" w:rsidR="00491F46" w:rsidRPr="002E3ED0" w:rsidRDefault="00491F46" w:rsidP="00EA6DB7">
            <w:pPr>
              <w:spacing w:line="375" w:lineRule="atLeast"/>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 xml:space="preserve">"Performance expectancy and trust were strongest predictors of adoption intention; perceived risk exerted </w:t>
            </w:r>
            <w:r w:rsidR="009B174A" w:rsidRPr="002E3ED0">
              <w:rPr>
                <w:rFonts w:ascii="Times New Roman" w:eastAsia="Times New Roman" w:hAnsi="Times New Roman" w:cs="Times New Roman"/>
                <w:sz w:val="24"/>
                <w:szCs w:val="24"/>
              </w:rPr>
              <w:t xml:space="preserve">a </w:t>
            </w:r>
            <w:r w:rsidRPr="002E3ED0">
              <w:rPr>
                <w:rFonts w:ascii="Times New Roman" w:eastAsia="Times New Roman" w:hAnsi="Times New Roman" w:cs="Times New Roman"/>
                <w:sz w:val="24"/>
                <w:szCs w:val="24"/>
              </w:rPr>
              <w:t>smaller but significant negative effect" (Amnas et al., 2023)</w:t>
            </w:r>
          </w:p>
        </w:tc>
        <w:tc>
          <w:tcPr>
            <w:tcW w:w="0" w:type="auto"/>
            <w:hideMark/>
          </w:tcPr>
          <w:p w14:paraId="757FC2E9"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Risk-trust distinction</w:t>
            </w:r>
          </w:p>
        </w:tc>
        <w:tc>
          <w:tcPr>
            <w:tcW w:w="0" w:type="auto"/>
            <w:hideMark/>
          </w:tcPr>
          <w:p w14:paraId="41656153"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Customer risk perception</w:t>
            </w:r>
          </w:p>
        </w:tc>
        <w:tc>
          <w:tcPr>
            <w:tcW w:w="0" w:type="auto"/>
            <w:hideMark/>
          </w:tcPr>
          <w:p w14:paraId="69539094"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Perceived risk and customer risk perception</w:t>
            </w:r>
          </w:p>
        </w:tc>
        <w:tc>
          <w:tcPr>
            <w:tcW w:w="0" w:type="auto"/>
            <w:hideMark/>
          </w:tcPr>
          <w:p w14:paraId="45DE7F64"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Behavioural Factors</w:t>
            </w:r>
          </w:p>
        </w:tc>
      </w:tr>
      <w:tr w:rsidR="00491F46" w:rsidRPr="002E3ED0" w14:paraId="0786307F" w14:textId="77777777" w:rsidTr="00EA6D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40" w:type="dxa"/>
            <w:hideMark/>
          </w:tcPr>
          <w:p w14:paraId="77C76883" w14:textId="77777777" w:rsidR="00491F46" w:rsidRPr="002E3ED0" w:rsidRDefault="00491F46" w:rsidP="00EA6DB7">
            <w:pPr>
              <w:spacing w:line="375" w:lineRule="atLeast"/>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"Perceived risk was a significant negative predictor of adoption intention even among Generation Z" (Al-Qudah et al., 2024)</w:t>
            </w:r>
          </w:p>
        </w:tc>
        <w:tc>
          <w:tcPr>
            <w:tcW w:w="0" w:type="auto"/>
            <w:hideMark/>
          </w:tcPr>
          <w:p w14:paraId="3801654C"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Risk among confident cohorts</w:t>
            </w:r>
          </w:p>
        </w:tc>
        <w:tc>
          <w:tcPr>
            <w:tcW w:w="0" w:type="auto"/>
            <w:hideMark/>
          </w:tcPr>
          <w:p w14:paraId="2897EA41"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Customer risk perception</w:t>
            </w:r>
          </w:p>
        </w:tc>
        <w:tc>
          <w:tcPr>
            <w:tcW w:w="0" w:type="auto"/>
            <w:hideMark/>
          </w:tcPr>
          <w:p w14:paraId="67028AB0"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Perceived risk and customer risk perception</w:t>
            </w:r>
          </w:p>
        </w:tc>
        <w:tc>
          <w:tcPr>
            <w:tcW w:w="0" w:type="auto"/>
            <w:hideMark/>
          </w:tcPr>
          <w:p w14:paraId="678F824A"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Behavioural Factors</w:t>
            </w:r>
          </w:p>
        </w:tc>
      </w:tr>
      <w:tr w:rsidR="00491F46" w:rsidRPr="002E3ED0" w14:paraId="7C44BA18" w14:textId="77777777" w:rsidTr="00EA6DB7">
        <w:tc>
          <w:tcPr>
            <w:cnfStyle w:val="001000000000" w:firstRow="0" w:lastRow="0" w:firstColumn="1" w:lastColumn="0" w:oddVBand="0" w:evenVBand="0" w:oddHBand="0" w:evenHBand="0" w:firstRowFirstColumn="0" w:firstRowLastColumn="0" w:lastRowFirstColumn="0" w:lastRowLastColumn="0"/>
            <w:tcW w:w="5040" w:type="dxa"/>
            <w:hideMark/>
          </w:tcPr>
          <w:p w14:paraId="41FF22EC" w14:textId="77777777" w:rsidR="00491F46" w:rsidRPr="002E3ED0" w:rsidRDefault="00491F46" w:rsidP="00EA6DB7">
            <w:pPr>
              <w:spacing w:line="375" w:lineRule="atLeast"/>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"Perceived cybersecurity risk significantly influenced intention; cybersecurity trust had no significant independent effect once risk was accounted for" - UK-specific (Hanif and Lallie, 2021)</w:t>
            </w:r>
          </w:p>
        </w:tc>
        <w:tc>
          <w:tcPr>
            <w:tcW w:w="0" w:type="auto"/>
            <w:hideMark/>
          </w:tcPr>
          <w:p w14:paraId="73EB86B5"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Risk dominates trust (UK)</w:t>
            </w:r>
          </w:p>
        </w:tc>
        <w:tc>
          <w:tcPr>
            <w:tcW w:w="0" w:type="auto"/>
            <w:hideMark/>
          </w:tcPr>
          <w:p w14:paraId="2D9BB8D4"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Customer risk perception</w:t>
            </w:r>
          </w:p>
        </w:tc>
        <w:tc>
          <w:tcPr>
            <w:tcW w:w="0" w:type="auto"/>
            <w:hideMark/>
          </w:tcPr>
          <w:p w14:paraId="4A0E6638"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Perceived risk and customer risk perception</w:t>
            </w:r>
          </w:p>
        </w:tc>
        <w:tc>
          <w:tcPr>
            <w:tcW w:w="0" w:type="auto"/>
            <w:hideMark/>
          </w:tcPr>
          <w:p w14:paraId="25745DF1"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Behavioural Factors</w:t>
            </w:r>
          </w:p>
        </w:tc>
      </w:tr>
      <w:tr w:rsidR="00491F46" w:rsidRPr="002E3ED0" w14:paraId="6AD46DDE" w14:textId="77777777" w:rsidTr="00EA6D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40" w:type="dxa"/>
            <w:hideMark/>
          </w:tcPr>
          <w:p w14:paraId="73A418DC" w14:textId="77777777" w:rsidR="00491F46" w:rsidRPr="002E3ED0" w:rsidRDefault="00491F46" w:rsidP="00EA6DB7">
            <w:pPr>
              <w:spacing w:line="375" w:lineRule="atLeast"/>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lastRenderedPageBreak/>
              <w:t>"Four of five dimensions of mobile service experience significantly associated with trust; age moderated within older cohort" (Rajaobelina et al., 2021)</w:t>
            </w:r>
          </w:p>
        </w:tc>
        <w:tc>
          <w:tcPr>
            <w:tcW w:w="0" w:type="auto"/>
            <w:hideMark/>
          </w:tcPr>
          <w:p w14:paraId="795AB0B8"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Age heterogeneity</w:t>
            </w:r>
          </w:p>
        </w:tc>
        <w:tc>
          <w:tcPr>
            <w:tcW w:w="0" w:type="auto"/>
            <w:hideMark/>
          </w:tcPr>
          <w:p w14:paraId="273A8C57"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User confidence and digital skills</w:t>
            </w:r>
          </w:p>
        </w:tc>
        <w:tc>
          <w:tcPr>
            <w:tcW w:w="0" w:type="auto"/>
            <w:hideMark/>
          </w:tcPr>
          <w:p w14:paraId="0C26A513"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Digital literacy and user confidence</w:t>
            </w:r>
          </w:p>
        </w:tc>
        <w:tc>
          <w:tcPr>
            <w:tcW w:w="0" w:type="auto"/>
            <w:hideMark/>
          </w:tcPr>
          <w:p w14:paraId="4197779C"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Behavioural Factors</w:t>
            </w:r>
          </w:p>
        </w:tc>
      </w:tr>
      <w:tr w:rsidR="00491F46" w:rsidRPr="002E3ED0" w14:paraId="2423B27D" w14:textId="77777777" w:rsidTr="00EA6DB7">
        <w:tc>
          <w:tcPr>
            <w:cnfStyle w:val="001000000000" w:firstRow="0" w:lastRow="0" w:firstColumn="1" w:lastColumn="0" w:oddVBand="0" w:evenVBand="0" w:oddHBand="0" w:evenHBand="0" w:firstRowFirstColumn="0" w:firstRowLastColumn="0" w:lastRowFirstColumn="0" w:lastRowLastColumn="0"/>
            <w:tcW w:w="5040" w:type="dxa"/>
            <w:hideMark/>
          </w:tcPr>
          <w:p w14:paraId="7287C173" w14:textId="77777777" w:rsidR="00491F46" w:rsidRPr="002E3ED0" w:rsidRDefault="00491F46" w:rsidP="00EA6DB7">
            <w:pPr>
              <w:spacing w:line="375" w:lineRule="atLeast"/>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"Older consumers' confidence was shaped by prior exposure to digital systems and accessible onboarding support" (Jiang et al., 2022)</w:t>
            </w:r>
          </w:p>
        </w:tc>
        <w:tc>
          <w:tcPr>
            <w:tcW w:w="0" w:type="auto"/>
            <w:hideMark/>
          </w:tcPr>
          <w:p w14:paraId="5D1556E1"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Learned confidence</w:t>
            </w:r>
          </w:p>
        </w:tc>
        <w:tc>
          <w:tcPr>
            <w:tcW w:w="0" w:type="auto"/>
            <w:hideMark/>
          </w:tcPr>
          <w:p w14:paraId="16B2EA8E"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User confidence and digital skills</w:t>
            </w:r>
          </w:p>
        </w:tc>
        <w:tc>
          <w:tcPr>
            <w:tcW w:w="0" w:type="auto"/>
            <w:hideMark/>
          </w:tcPr>
          <w:p w14:paraId="68DD03E1"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Digital literacy and user confidence</w:t>
            </w:r>
          </w:p>
        </w:tc>
        <w:tc>
          <w:tcPr>
            <w:tcW w:w="0" w:type="auto"/>
            <w:hideMark/>
          </w:tcPr>
          <w:p w14:paraId="01EAB4B8"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Behavioural Factors</w:t>
            </w:r>
          </w:p>
        </w:tc>
      </w:tr>
      <w:tr w:rsidR="00491F46" w:rsidRPr="002E3ED0" w14:paraId="5D03615F" w14:textId="77777777" w:rsidTr="00EA6D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40" w:type="dxa"/>
            <w:hideMark/>
          </w:tcPr>
          <w:p w14:paraId="08832F5F" w14:textId="77777777" w:rsidR="00491F46" w:rsidRPr="002E3ED0" w:rsidRDefault="00491F46" w:rsidP="00EA6DB7">
            <w:pPr>
              <w:spacing w:line="375" w:lineRule="atLeast"/>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"Proactive personality fully mediated the effect of UTAUT2 drivers on non-users' intention to adopt mobile banking" (Hilal and Varela-Neira, 2022)</w:t>
            </w:r>
          </w:p>
        </w:tc>
        <w:tc>
          <w:tcPr>
            <w:tcW w:w="0" w:type="auto"/>
            <w:hideMark/>
          </w:tcPr>
          <w:p w14:paraId="2BBCFE58"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Disposition and adoption</w:t>
            </w:r>
          </w:p>
        </w:tc>
        <w:tc>
          <w:tcPr>
            <w:tcW w:w="0" w:type="auto"/>
            <w:hideMark/>
          </w:tcPr>
          <w:p w14:paraId="0C763D9B"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User confidence and digital skills</w:t>
            </w:r>
          </w:p>
        </w:tc>
        <w:tc>
          <w:tcPr>
            <w:tcW w:w="0" w:type="auto"/>
            <w:hideMark/>
          </w:tcPr>
          <w:p w14:paraId="2F26094C"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Digital literacy and user confidence</w:t>
            </w:r>
          </w:p>
        </w:tc>
        <w:tc>
          <w:tcPr>
            <w:tcW w:w="0" w:type="auto"/>
            <w:hideMark/>
          </w:tcPr>
          <w:p w14:paraId="613F85F8"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Behavioural Factors</w:t>
            </w:r>
          </w:p>
        </w:tc>
      </w:tr>
      <w:tr w:rsidR="00491F46" w:rsidRPr="002E3ED0" w14:paraId="59C81D39" w14:textId="77777777" w:rsidTr="00EA6DB7">
        <w:tc>
          <w:tcPr>
            <w:cnfStyle w:val="001000000000" w:firstRow="0" w:lastRow="0" w:firstColumn="1" w:lastColumn="0" w:oddVBand="0" w:evenVBand="0" w:oddHBand="0" w:evenHBand="0" w:firstRowFirstColumn="0" w:firstRowLastColumn="0" w:lastRowFirstColumn="0" w:lastRowLastColumn="0"/>
            <w:tcW w:w="5040" w:type="dxa"/>
            <w:hideMark/>
          </w:tcPr>
          <w:p w14:paraId="65BB5107" w14:textId="77777777" w:rsidR="00491F46" w:rsidRPr="002E3ED0" w:rsidRDefault="00491F46" w:rsidP="00EA6DB7">
            <w:pPr>
              <w:spacing w:line="375" w:lineRule="atLeast"/>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"Convenience, trust and social influence enhanced customer experience; loyalty and continued-use were outcomes of experience" (Shahid et al., 2022)</w:t>
            </w:r>
          </w:p>
        </w:tc>
        <w:tc>
          <w:tcPr>
            <w:tcW w:w="0" w:type="auto"/>
            <w:hideMark/>
          </w:tcPr>
          <w:p w14:paraId="5E205960"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Experience-trust-loyalty pathway</w:t>
            </w:r>
          </w:p>
        </w:tc>
        <w:tc>
          <w:tcPr>
            <w:tcW w:w="0" w:type="auto"/>
            <w:hideMark/>
          </w:tcPr>
          <w:p w14:paraId="1A119DEE"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User confidence and digital skills</w:t>
            </w:r>
          </w:p>
        </w:tc>
        <w:tc>
          <w:tcPr>
            <w:tcW w:w="0" w:type="auto"/>
            <w:hideMark/>
          </w:tcPr>
          <w:p w14:paraId="30E47613"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Digital literacy and user confidence</w:t>
            </w:r>
          </w:p>
        </w:tc>
        <w:tc>
          <w:tcPr>
            <w:tcW w:w="0" w:type="auto"/>
            <w:hideMark/>
          </w:tcPr>
          <w:p w14:paraId="47927CBC"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Behavioural Factors</w:t>
            </w:r>
          </w:p>
        </w:tc>
      </w:tr>
      <w:tr w:rsidR="00491F46" w:rsidRPr="002E3ED0" w14:paraId="7C4B70F0" w14:textId="77777777" w:rsidTr="00EA6D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40" w:type="dxa"/>
            <w:hideMark/>
          </w:tcPr>
          <w:p w14:paraId="6D16073E" w14:textId="77777777" w:rsidR="00491F46" w:rsidRPr="002E3ED0" w:rsidRDefault="00491F46" w:rsidP="00EA6DB7">
            <w:pPr>
              <w:spacing w:line="375" w:lineRule="atLeast"/>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"Financial literacy and habitual behaviour were positively associated with contactless card ownership" - UK-specific (Duxbury, Linares-Zegarra and Verousis, 2025)</w:t>
            </w:r>
          </w:p>
        </w:tc>
        <w:tc>
          <w:tcPr>
            <w:tcW w:w="0" w:type="auto"/>
            <w:hideMark/>
          </w:tcPr>
          <w:p w14:paraId="0120D92D"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Financial literacy (UK)</w:t>
            </w:r>
          </w:p>
        </w:tc>
        <w:tc>
          <w:tcPr>
            <w:tcW w:w="0" w:type="auto"/>
            <w:hideMark/>
          </w:tcPr>
          <w:p w14:paraId="64384C5E"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User confidence and digital skills</w:t>
            </w:r>
          </w:p>
        </w:tc>
        <w:tc>
          <w:tcPr>
            <w:tcW w:w="0" w:type="auto"/>
            <w:hideMark/>
          </w:tcPr>
          <w:p w14:paraId="5ED694C1"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Digital literacy and user confidence</w:t>
            </w:r>
          </w:p>
        </w:tc>
        <w:tc>
          <w:tcPr>
            <w:tcW w:w="0" w:type="auto"/>
            <w:hideMark/>
          </w:tcPr>
          <w:p w14:paraId="691596EA"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Behavioural Factors</w:t>
            </w:r>
          </w:p>
        </w:tc>
      </w:tr>
      <w:tr w:rsidR="00491F46" w:rsidRPr="002E3ED0" w14:paraId="766CA522" w14:textId="77777777" w:rsidTr="00EA6DB7">
        <w:tc>
          <w:tcPr>
            <w:cnfStyle w:val="001000000000" w:firstRow="0" w:lastRow="0" w:firstColumn="1" w:lastColumn="0" w:oddVBand="0" w:evenVBand="0" w:oddHBand="0" w:evenHBand="0" w:firstRowFirstColumn="0" w:firstRowLastColumn="0" w:lastRowFirstColumn="0" w:lastRowLastColumn="0"/>
            <w:tcW w:w="5040" w:type="dxa"/>
            <w:hideMark/>
          </w:tcPr>
          <w:p w14:paraId="75389089" w14:textId="77777777" w:rsidR="00491F46" w:rsidRPr="002E3ED0" w:rsidRDefault="00491F46" w:rsidP="00EA6DB7">
            <w:pPr>
              <w:spacing w:line="375" w:lineRule="atLeast"/>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"Institutional trust and facilitating conditions predicted continued CBDC adoption; well-designed system was necessary but not sufficient" (Söilen and Benhayoun, 2022)</w:t>
            </w:r>
          </w:p>
        </w:tc>
        <w:tc>
          <w:tcPr>
            <w:tcW w:w="0" w:type="auto"/>
            <w:hideMark/>
          </w:tcPr>
          <w:p w14:paraId="160DC099"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Institutional trust channel</w:t>
            </w:r>
          </w:p>
        </w:tc>
        <w:tc>
          <w:tcPr>
            <w:tcW w:w="0" w:type="auto"/>
            <w:hideMark/>
          </w:tcPr>
          <w:p w14:paraId="28A2658E"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Regulatory compliance and governance</w:t>
            </w:r>
          </w:p>
        </w:tc>
        <w:tc>
          <w:tcPr>
            <w:tcW w:w="0" w:type="auto"/>
            <w:hideMark/>
          </w:tcPr>
          <w:p w14:paraId="791EC65C"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Regulatory compliance and governance</w:t>
            </w:r>
          </w:p>
        </w:tc>
        <w:tc>
          <w:tcPr>
            <w:tcW w:w="0" w:type="auto"/>
            <w:hideMark/>
          </w:tcPr>
          <w:p w14:paraId="2CACA618"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Regulatory Factors</w:t>
            </w:r>
          </w:p>
        </w:tc>
      </w:tr>
      <w:tr w:rsidR="00491F46" w:rsidRPr="002E3ED0" w14:paraId="1F864DAE" w14:textId="77777777" w:rsidTr="00EA6D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40" w:type="dxa"/>
            <w:hideMark/>
          </w:tcPr>
          <w:p w14:paraId="4107EEF4" w14:textId="77777777" w:rsidR="00491F46" w:rsidRPr="002E3ED0" w:rsidRDefault="00491F46" w:rsidP="00EA6DB7">
            <w:pPr>
              <w:spacing w:line="375" w:lineRule="atLeast"/>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"SCA reduced fraud risk by approximately 60% for card-based remote payments" (Cologgi, 2023)</w:t>
            </w:r>
          </w:p>
        </w:tc>
        <w:tc>
          <w:tcPr>
            <w:tcW w:w="0" w:type="auto"/>
            <w:hideMark/>
          </w:tcPr>
          <w:p w14:paraId="6866EC2B"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Technical compliance channel</w:t>
            </w:r>
          </w:p>
        </w:tc>
        <w:tc>
          <w:tcPr>
            <w:tcW w:w="0" w:type="auto"/>
            <w:hideMark/>
          </w:tcPr>
          <w:p w14:paraId="4F7F0C2E"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Regulatory compliance and governance</w:t>
            </w:r>
          </w:p>
        </w:tc>
        <w:tc>
          <w:tcPr>
            <w:tcW w:w="0" w:type="auto"/>
            <w:hideMark/>
          </w:tcPr>
          <w:p w14:paraId="58032364"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Regulatory compliance and governance</w:t>
            </w:r>
          </w:p>
        </w:tc>
        <w:tc>
          <w:tcPr>
            <w:tcW w:w="0" w:type="auto"/>
            <w:hideMark/>
          </w:tcPr>
          <w:p w14:paraId="0B7195A3"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Regulatory Factors</w:t>
            </w:r>
          </w:p>
        </w:tc>
      </w:tr>
      <w:tr w:rsidR="00491F46" w:rsidRPr="002E3ED0" w14:paraId="7288AB72" w14:textId="77777777" w:rsidTr="00EA6DB7">
        <w:tc>
          <w:tcPr>
            <w:cnfStyle w:val="001000000000" w:firstRow="0" w:lastRow="0" w:firstColumn="1" w:lastColumn="0" w:oddVBand="0" w:evenVBand="0" w:oddHBand="0" w:evenHBand="0" w:firstRowFirstColumn="0" w:firstRowLastColumn="0" w:lastRowFirstColumn="0" w:lastRowLastColumn="0"/>
            <w:tcW w:w="5040" w:type="dxa"/>
            <w:hideMark/>
          </w:tcPr>
          <w:p w14:paraId="7E5EE047" w14:textId="77777777" w:rsidR="00491F46" w:rsidRPr="002E3ED0" w:rsidRDefault="00491F46" w:rsidP="00EA6DB7">
            <w:pPr>
              <w:spacing w:line="375" w:lineRule="atLeast"/>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"UK mandatory reimbursement scheme applies only to Faster Payments and depends on contested negligence classifications" (Braithwaite, 2024)</w:t>
            </w:r>
          </w:p>
        </w:tc>
        <w:tc>
          <w:tcPr>
            <w:tcW w:w="0" w:type="auto"/>
            <w:hideMark/>
          </w:tcPr>
          <w:p w14:paraId="18CEFC5B"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Reimbursement gaps</w:t>
            </w:r>
          </w:p>
        </w:tc>
        <w:tc>
          <w:tcPr>
            <w:tcW w:w="0" w:type="auto"/>
            <w:hideMark/>
          </w:tcPr>
          <w:p w14:paraId="57B3EC93"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Fraud control and consumer protection</w:t>
            </w:r>
          </w:p>
        </w:tc>
        <w:tc>
          <w:tcPr>
            <w:tcW w:w="0" w:type="auto"/>
            <w:hideMark/>
          </w:tcPr>
          <w:p w14:paraId="2C87A21D"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Fraud prevention and consumer protection</w:t>
            </w:r>
          </w:p>
        </w:tc>
        <w:tc>
          <w:tcPr>
            <w:tcW w:w="0" w:type="auto"/>
            <w:hideMark/>
          </w:tcPr>
          <w:p w14:paraId="6A62FCC9"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Regulatory Factors</w:t>
            </w:r>
          </w:p>
        </w:tc>
      </w:tr>
      <w:tr w:rsidR="00491F46" w:rsidRPr="002E3ED0" w14:paraId="739593CC" w14:textId="77777777" w:rsidTr="00EA6D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40" w:type="dxa"/>
            <w:hideMark/>
          </w:tcPr>
          <w:p w14:paraId="00261AFF" w14:textId="77777777" w:rsidR="00491F46" w:rsidRPr="002E3ED0" w:rsidRDefault="00491F46" w:rsidP="00EA6DB7">
            <w:pPr>
              <w:spacing w:line="375" w:lineRule="atLeast"/>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lastRenderedPageBreak/>
              <w:t>"Mandatory reimbursement reinforces gatekeeping but may reduce customers' own precautionary behaviour" (Yang, 2025)</w:t>
            </w:r>
          </w:p>
        </w:tc>
        <w:tc>
          <w:tcPr>
            <w:tcW w:w="0" w:type="auto"/>
            <w:hideMark/>
          </w:tcPr>
          <w:p w14:paraId="50E64F60"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Moral hazard effect</w:t>
            </w:r>
          </w:p>
        </w:tc>
        <w:tc>
          <w:tcPr>
            <w:tcW w:w="0" w:type="auto"/>
            <w:hideMark/>
          </w:tcPr>
          <w:p w14:paraId="2E7FEC32"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Fraud control and consumer protection</w:t>
            </w:r>
          </w:p>
        </w:tc>
        <w:tc>
          <w:tcPr>
            <w:tcW w:w="0" w:type="auto"/>
            <w:hideMark/>
          </w:tcPr>
          <w:p w14:paraId="7C95059D"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Fraud prevention and consumer protection</w:t>
            </w:r>
          </w:p>
        </w:tc>
        <w:tc>
          <w:tcPr>
            <w:tcW w:w="0" w:type="auto"/>
            <w:hideMark/>
          </w:tcPr>
          <w:p w14:paraId="7C0554DD" w14:textId="77777777" w:rsidR="00491F46" w:rsidRPr="002E3ED0" w:rsidRDefault="00491F46" w:rsidP="00EA6DB7">
            <w:pPr>
              <w:spacing w:line="375" w:lineRule="atLeas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Regulatory Factors</w:t>
            </w:r>
          </w:p>
        </w:tc>
      </w:tr>
      <w:tr w:rsidR="00491F46" w:rsidRPr="002E3ED0" w14:paraId="238A7275" w14:textId="77777777" w:rsidTr="00EA6DB7">
        <w:tc>
          <w:tcPr>
            <w:cnfStyle w:val="001000000000" w:firstRow="0" w:lastRow="0" w:firstColumn="1" w:lastColumn="0" w:oddVBand="0" w:evenVBand="0" w:oddHBand="0" w:evenHBand="0" w:firstRowFirstColumn="0" w:firstRowLastColumn="0" w:lastRowFirstColumn="0" w:lastRowLastColumn="0"/>
            <w:tcW w:w="5040" w:type="dxa"/>
            <w:hideMark/>
          </w:tcPr>
          <w:p w14:paraId="4C540081" w14:textId="1140EAC1" w:rsidR="00491F46" w:rsidRPr="002E3ED0" w:rsidRDefault="00491F46" w:rsidP="00EA6DB7">
            <w:pPr>
              <w:spacing w:line="375" w:lineRule="atLeast"/>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 xml:space="preserve">"Liability should be apportioned to </w:t>
            </w:r>
            <w:r w:rsidR="009B174A" w:rsidRPr="002E3ED0">
              <w:rPr>
                <w:rFonts w:ascii="Times New Roman" w:eastAsia="Times New Roman" w:hAnsi="Times New Roman" w:cs="Times New Roman"/>
                <w:sz w:val="24"/>
                <w:szCs w:val="24"/>
              </w:rPr>
              <w:t xml:space="preserve">the </w:t>
            </w:r>
            <w:r w:rsidRPr="002E3ED0">
              <w:rPr>
                <w:rFonts w:ascii="Times New Roman" w:eastAsia="Times New Roman" w:hAnsi="Times New Roman" w:cs="Times New Roman"/>
                <w:sz w:val="24"/>
                <w:szCs w:val="24"/>
              </w:rPr>
              <w:t xml:space="preserve">party best placed to prevent fraud rather than wholly to </w:t>
            </w:r>
            <w:r w:rsidR="009B174A" w:rsidRPr="002E3ED0">
              <w:rPr>
                <w:rFonts w:ascii="Times New Roman" w:eastAsia="Times New Roman" w:hAnsi="Times New Roman" w:cs="Times New Roman"/>
                <w:sz w:val="24"/>
                <w:szCs w:val="24"/>
              </w:rPr>
              <w:t xml:space="preserve">the </w:t>
            </w:r>
            <w:r w:rsidRPr="002E3ED0">
              <w:rPr>
                <w:rFonts w:ascii="Times New Roman" w:eastAsia="Times New Roman" w:hAnsi="Times New Roman" w:cs="Times New Roman"/>
                <w:sz w:val="24"/>
                <w:szCs w:val="24"/>
              </w:rPr>
              <w:t>sending institution" (Shum, 2025)</w:t>
            </w:r>
          </w:p>
        </w:tc>
        <w:tc>
          <w:tcPr>
            <w:tcW w:w="0" w:type="auto"/>
            <w:hideMark/>
          </w:tcPr>
          <w:p w14:paraId="4DA43765"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Liability allocation</w:t>
            </w:r>
          </w:p>
        </w:tc>
        <w:tc>
          <w:tcPr>
            <w:tcW w:w="0" w:type="auto"/>
            <w:hideMark/>
          </w:tcPr>
          <w:p w14:paraId="2FEDF210"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Fraud control and consumer protection</w:t>
            </w:r>
          </w:p>
        </w:tc>
        <w:tc>
          <w:tcPr>
            <w:tcW w:w="0" w:type="auto"/>
            <w:hideMark/>
          </w:tcPr>
          <w:p w14:paraId="566C1785" w14:textId="77777777"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Fraud prevention and consumer protection</w:t>
            </w:r>
          </w:p>
        </w:tc>
        <w:tc>
          <w:tcPr>
            <w:tcW w:w="0" w:type="auto"/>
            <w:hideMark/>
          </w:tcPr>
          <w:p w14:paraId="0BCF1CA4" w14:textId="07E4C75C" w:rsidR="00491F46" w:rsidRPr="002E3ED0" w:rsidRDefault="00491F46" w:rsidP="00EA6DB7">
            <w:pPr>
              <w:spacing w:line="375" w:lineRule="atLeas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E3ED0">
              <w:rPr>
                <w:rFonts w:ascii="Times New Roman" w:eastAsia="Times New Roman" w:hAnsi="Times New Roman" w:cs="Times New Roman"/>
                <w:sz w:val="24"/>
                <w:szCs w:val="24"/>
              </w:rPr>
              <w:t>Regulatory Factors</w:t>
            </w:r>
            <w:r w:rsidR="009104AD" w:rsidRPr="002E3ED0">
              <w:rPr>
                <w:rFonts w:ascii="Times New Roman" w:eastAsia="Times New Roman" w:hAnsi="Times New Roman" w:cs="Times New Roman"/>
                <w:sz w:val="24"/>
                <w:szCs w:val="24"/>
              </w:rPr>
              <w:t>`</w:t>
            </w:r>
          </w:p>
        </w:tc>
      </w:tr>
    </w:tbl>
    <w:p w14:paraId="1155B2CC" w14:textId="77777777" w:rsidR="00526150" w:rsidRPr="002E3ED0" w:rsidRDefault="00526150" w:rsidP="00875014">
      <w:pPr>
        <w:pStyle w:val="ds-markdown-paragraph"/>
        <w:widowControl w:val="0"/>
        <w:shd w:val="clear" w:color="auto" w:fill="FFFFFF"/>
        <w:spacing w:before="0" w:beforeAutospacing="0" w:after="0" w:afterAutospacing="0" w:line="360" w:lineRule="auto"/>
        <w:jc w:val="both"/>
      </w:pPr>
    </w:p>
    <w:p w14:paraId="1FB8E9BE" w14:textId="77777777" w:rsidR="0025521E" w:rsidRPr="002E3ED0" w:rsidRDefault="0025521E" w:rsidP="00526150">
      <w:pPr>
        <w:spacing w:after="160" w:line="259" w:lineRule="auto"/>
        <w:rPr>
          <w:rFonts w:ascii="Times New Roman" w:eastAsia="Times New Roman" w:hAnsi="Times New Roman" w:cs="Times New Roman"/>
          <w:sz w:val="24"/>
          <w:szCs w:val="24"/>
        </w:rPr>
      </w:pPr>
    </w:p>
    <w:sectPr w:rsidR="0025521E" w:rsidRPr="002E3ED0">
      <w:headerReference w:type="even" r:id="rId21"/>
      <w:headerReference w:type="default" r:id="rId22"/>
      <w:footerReference w:type="even" r:id="rId23"/>
      <w:footerReference w:type="default" r:id="rId24"/>
      <w:headerReference w:type="first" r:id="rId25"/>
      <w:footerReference w:type="firs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F3BAB0" w14:textId="77777777" w:rsidR="007154DE" w:rsidRDefault="007154DE" w:rsidP="00EA4B6B">
      <w:r>
        <w:separator/>
      </w:r>
    </w:p>
  </w:endnote>
  <w:endnote w:type="continuationSeparator" w:id="0">
    <w:p w14:paraId="4B52AEA9" w14:textId="77777777" w:rsidR="007154DE" w:rsidRDefault="007154DE" w:rsidP="00EA4B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E97EDE" w14:textId="77777777" w:rsidR="00EA4B6B" w:rsidRDefault="00EA4B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2137062"/>
      <w:docPartObj>
        <w:docPartGallery w:val="Page Numbers (Bottom of Page)"/>
        <w:docPartUnique/>
      </w:docPartObj>
    </w:sdtPr>
    <w:sdtEndPr>
      <w:rPr>
        <w:noProof/>
      </w:rPr>
    </w:sdtEndPr>
    <w:sdtContent>
      <w:p w14:paraId="53303DCB" w14:textId="77777777" w:rsidR="00EA4B6B" w:rsidRDefault="00EA4B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BF684A" w14:textId="77777777" w:rsidR="00EA4B6B" w:rsidRDefault="00EA4B6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A219F1" w14:textId="77777777" w:rsidR="00EA4B6B" w:rsidRDefault="00EA4B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52EFA9" w14:textId="77777777" w:rsidR="007154DE" w:rsidRDefault="007154DE" w:rsidP="00EA4B6B">
      <w:r>
        <w:separator/>
      </w:r>
    </w:p>
  </w:footnote>
  <w:footnote w:type="continuationSeparator" w:id="0">
    <w:p w14:paraId="696CCF69" w14:textId="77777777" w:rsidR="007154DE" w:rsidRDefault="007154DE" w:rsidP="00EA4B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BA15DD" w14:textId="77777777" w:rsidR="00EA4B6B" w:rsidRDefault="00EA4B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BA831D" w14:textId="77777777" w:rsidR="00EA4B6B" w:rsidRDefault="00EA4B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965FFB" w14:textId="77777777" w:rsidR="00EA4B6B" w:rsidRDefault="00EA4B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85BF2"/>
    <w:multiLevelType w:val="multilevel"/>
    <w:tmpl w:val="4F584348"/>
    <w:lvl w:ilvl="0">
      <w:start w:val="1"/>
      <w:numFmt w:val="decimal"/>
      <w:pStyle w:val="Heading1"/>
      <w:lvlText w:val="%1."/>
      <w:lvlJc w:val="left"/>
      <w:pPr>
        <w:ind w:left="720" w:hanging="360"/>
      </w:pPr>
      <w:rPr>
        <w:rFonts w:hint="default"/>
      </w:rPr>
    </w:lvl>
    <w:lvl w:ilvl="1">
      <w:start w:val="1"/>
      <w:numFmt w:val="decimal"/>
      <w:pStyle w:val="Heading2"/>
      <w:isLgl/>
      <w:lvlText w:val="%1.%2."/>
      <w:lvlJc w:val="left"/>
      <w:pPr>
        <w:ind w:left="720" w:hanging="360"/>
      </w:pPr>
      <w:rPr>
        <w:rFonts w:hint="default"/>
        <w:b/>
        <w:bCs/>
      </w:rPr>
    </w:lvl>
    <w:lvl w:ilvl="2">
      <w:start w:val="1"/>
      <w:numFmt w:val="decimal"/>
      <w:pStyle w:val="Heading3"/>
      <w:isLgl/>
      <w:lvlText w:val="%1.%2.%3."/>
      <w:lvlJc w:val="left"/>
      <w:pPr>
        <w:ind w:left="1080" w:hanging="720"/>
      </w:pPr>
      <w:rPr>
        <w:rFonts w:hint="default"/>
        <w:b/>
        <w:bCs/>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1A65020"/>
    <w:multiLevelType w:val="hybridMultilevel"/>
    <w:tmpl w:val="29A293B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1B5E0EFE"/>
    <w:multiLevelType w:val="hybridMultilevel"/>
    <w:tmpl w:val="995E4B4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25EA38F9"/>
    <w:multiLevelType w:val="hybridMultilevel"/>
    <w:tmpl w:val="542A5AF0"/>
    <w:lvl w:ilvl="0" w:tplc="3D2AE6D2">
      <w:start w:val="1"/>
      <w:numFmt w:val="bullet"/>
      <w:lvlText w:val="●"/>
      <w:lvlJc w:val="left"/>
      <w:pPr>
        <w:ind w:left="720" w:hanging="360"/>
      </w:pPr>
    </w:lvl>
    <w:lvl w:ilvl="1" w:tplc="BE44AD20">
      <w:start w:val="1"/>
      <w:numFmt w:val="bullet"/>
      <w:lvlText w:val="○"/>
      <w:lvlJc w:val="left"/>
      <w:pPr>
        <w:ind w:left="1440" w:hanging="360"/>
      </w:pPr>
    </w:lvl>
    <w:lvl w:ilvl="2" w:tplc="25245E38">
      <w:start w:val="1"/>
      <w:numFmt w:val="bullet"/>
      <w:lvlText w:val="■"/>
      <w:lvlJc w:val="left"/>
      <w:pPr>
        <w:ind w:left="2160" w:hanging="360"/>
      </w:pPr>
    </w:lvl>
    <w:lvl w:ilvl="3" w:tplc="E9A26F64">
      <w:start w:val="1"/>
      <w:numFmt w:val="bullet"/>
      <w:lvlText w:val="●"/>
      <w:lvlJc w:val="left"/>
      <w:pPr>
        <w:ind w:left="2880" w:hanging="360"/>
      </w:pPr>
    </w:lvl>
    <w:lvl w:ilvl="4" w:tplc="D5DC0132">
      <w:start w:val="1"/>
      <w:numFmt w:val="bullet"/>
      <w:lvlText w:val="○"/>
      <w:lvlJc w:val="left"/>
      <w:pPr>
        <w:ind w:left="3600" w:hanging="360"/>
      </w:pPr>
    </w:lvl>
    <w:lvl w:ilvl="5" w:tplc="1E8409F8">
      <w:start w:val="1"/>
      <w:numFmt w:val="bullet"/>
      <w:lvlText w:val="■"/>
      <w:lvlJc w:val="left"/>
      <w:pPr>
        <w:ind w:left="4320" w:hanging="360"/>
      </w:pPr>
    </w:lvl>
    <w:lvl w:ilvl="6" w:tplc="C9649480">
      <w:start w:val="1"/>
      <w:numFmt w:val="bullet"/>
      <w:lvlText w:val="●"/>
      <w:lvlJc w:val="left"/>
      <w:pPr>
        <w:ind w:left="5040" w:hanging="360"/>
      </w:pPr>
    </w:lvl>
    <w:lvl w:ilvl="7" w:tplc="78CA83CC">
      <w:start w:val="1"/>
      <w:numFmt w:val="bullet"/>
      <w:lvlText w:val="●"/>
      <w:lvlJc w:val="left"/>
      <w:pPr>
        <w:ind w:left="5760" w:hanging="360"/>
      </w:pPr>
    </w:lvl>
    <w:lvl w:ilvl="8" w:tplc="C66A70AC">
      <w:start w:val="1"/>
      <w:numFmt w:val="bullet"/>
      <w:lvlText w:val="●"/>
      <w:lvlJc w:val="left"/>
      <w:pPr>
        <w:ind w:left="6480" w:hanging="360"/>
      </w:pPr>
    </w:lvl>
  </w:abstractNum>
  <w:abstractNum w:abstractNumId="4" w15:restartNumberingAfterBreak="0">
    <w:nsid w:val="4ED34446"/>
    <w:multiLevelType w:val="multilevel"/>
    <w:tmpl w:val="E0768C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1FC4906"/>
    <w:multiLevelType w:val="hybridMultilevel"/>
    <w:tmpl w:val="70C002B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68386C43"/>
    <w:multiLevelType w:val="hybridMultilevel"/>
    <w:tmpl w:val="43661B4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70F53A0D"/>
    <w:multiLevelType w:val="multilevel"/>
    <w:tmpl w:val="83720E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7E850E0"/>
    <w:multiLevelType w:val="multilevel"/>
    <w:tmpl w:val="E646B1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37884802">
    <w:abstractNumId w:val="3"/>
    <w:lvlOverride w:ilvl="0">
      <w:startOverride w:val="1"/>
    </w:lvlOverride>
  </w:num>
  <w:num w:numId="2" w16cid:durableId="1511993402">
    <w:abstractNumId w:val="8"/>
  </w:num>
  <w:num w:numId="3" w16cid:durableId="652563496">
    <w:abstractNumId w:val="4"/>
  </w:num>
  <w:num w:numId="4" w16cid:durableId="137963500">
    <w:abstractNumId w:val="0"/>
  </w:num>
  <w:num w:numId="5" w16cid:durableId="665474974">
    <w:abstractNumId w:val="7"/>
  </w:num>
  <w:num w:numId="6" w16cid:durableId="807207053">
    <w:abstractNumId w:val="1"/>
  </w:num>
  <w:num w:numId="7" w16cid:durableId="1332566046">
    <w:abstractNumId w:val="6"/>
  </w:num>
  <w:num w:numId="8" w16cid:durableId="1228690124">
    <w:abstractNumId w:val="1"/>
  </w:num>
  <w:num w:numId="9" w16cid:durableId="665327049">
    <w:abstractNumId w:val="5"/>
  </w:num>
  <w:num w:numId="10" w16cid:durableId="20820917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jA2NzWztDA0NDSwMDZR0lEKTi0uzszPAykwrwUAS6beuCwAAAA="/>
  </w:docVars>
  <w:rsids>
    <w:rsidRoot w:val="0098511F"/>
    <w:rsid w:val="000B5EE3"/>
    <w:rsid w:val="000E57F3"/>
    <w:rsid w:val="0010507C"/>
    <w:rsid w:val="001068C4"/>
    <w:rsid w:val="00205AD3"/>
    <w:rsid w:val="00233642"/>
    <w:rsid w:val="00240056"/>
    <w:rsid w:val="0025521E"/>
    <w:rsid w:val="002852A9"/>
    <w:rsid w:val="002E3ED0"/>
    <w:rsid w:val="002F54A1"/>
    <w:rsid w:val="003430B2"/>
    <w:rsid w:val="00374313"/>
    <w:rsid w:val="00491F46"/>
    <w:rsid w:val="004B0FAD"/>
    <w:rsid w:val="004E0484"/>
    <w:rsid w:val="00526150"/>
    <w:rsid w:val="00546F56"/>
    <w:rsid w:val="005F4243"/>
    <w:rsid w:val="00705CAB"/>
    <w:rsid w:val="007154DE"/>
    <w:rsid w:val="00781005"/>
    <w:rsid w:val="007843BB"/>
    <w:rsid w:val="007845E0"/>
    <w:rsid w:val="007904A2"/>
    <w:rsid w:val="00794C8F"/>
    <w:rsid w:val="00875014"/>
    <w:rsid w:val="008A241C"/>
    <w:rsid w:val="008C769D"/>
    <w:rsid w:val="008E5100"/>
    <w:rsid w:val="008F24D5"/>
    <w:rsid w:val="009104AD"/>
    <w:rsid w:val="0097544D"/>
    <w:rsid w:val="009824EA"/>
    <w:rsid w:val="009843C1"/>
    <w:rsid w:val="0098511F"/>
    <w:rsid w:val="009B174A"/>
    <w:rsid w:val="009B6F28"/>
    <w:rsid w:val="00A7372E"/>
    <w:rsid w:val="00A83953"/>
    <w:rsid w:val="00B4761F"/>
    <w:rsid w:val="00B62957"/>
    <w:rsid w:val="00B84247"/>
    <w:rsid w:val="00BC0071"/>
    <w:rsid w:val="00C060AF"/>
    <w:rsid w:val="00C25682"/>
    <w:rsid w:val="00C34FB2"/>
    <w:rsid w:val="00C97895"/>
    <w:rsid w:val="00CD76BD"/>
    <w:rsid w:val="00D279C7"/>
    <w:rsid w:val="00D50FCB"/>
    <w:rsid w:val="00D63787"/>
    <w:rsid w:val="00E80B5D"/>
    <w:rsid w:val="00EA4B6B"/>
    <w:rsid w:val="00EB75E7"/>
    <w:rsid w:val="00EE322B"/>
    <w:rsid w:val="00F329DD"/>
    <w:rsid w:val="00F51FEB"/>
    <w:rsid w:val="00F863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76E26C"/>
  <w15:chartTrackingRefBased/>
  <w15:docId w15:val="{41A6EBE5-DDF0-4B9D-9483-E96A94F34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511F"/>
    <w:pPr>
      <w:spacing w:after="0" w:line="240" w:lineRule="auto"/>
    </w:pPr>
    <w:rPr>
      <w:rFonts w:ascii="Calibri" w:eastAsia="Calibri" w:hAnsi="Calibri" w:cs="Calibri"/>
      <w:kern w:val="0"/>
      <w14:ligatures w14:val="none"/>
    </w:rPr>
  </w:style>
  <w:style w:type="paragraph" w:styleId="Heading1">
    <w:name w:val="heading 1"/>
    <w:basedOn w:val="ds-markdown-paragraph"/>
    <w:next w:val="Normal"/>
    <w:link w:val="Heading1Char"/>
    <w:uiPriority w:val="9"/>
    <w:qFormat/>
    <w:rsid w:val="008C769D"/>
    <w:pPr>
      <w:widowControl w:val="0"/>
      <w:numPr>
        <w:numId w:val="4"/>
      </w:numPr>
      <w:shd w:val="clear" w:color="auto" w:fill="FFFFFF"/>
      <w:spacing w:before="0" w:beforeAutospacing="0" w:after="0" w:afterAutospacing="0" w:line="360" w:lineRule="auto"/>
      <w:ind w:hanging="720"/>
      <w:jc w:val="center"/>
      <w:outlineLvl w:val="0"/>
    </w:pPr>
    <w:rPr>
      <w:b/>
      <w:bCs/>
      <w:color w:val="0F1115"/>
    </w:rPr>
  </w:style>
  <w:style w:type="paragraph" w:styleId="Heading2">
    <w:name w:val="heading 2"/>
    <w:basedOn w:val="ds-markdown-paragraph"/>
    <w:next w:val="Normal"/>
    <w:link w:val="Heading2Char"/>
    <w:uiPriority w:val="9"/>
    <w:unhideWhenUsed/>
    <w:qFormat/>
    <w:rsid w:val="008C769D"/>
    <w:pPr>
      <w:widowControl w:val="0"/>
      <w:numPr>
        <w:ilvl w:val="1"/>
        <w:numId w:val="4"/>
      </w:numPr>
      <w:shd w:val="clear" w:color="auto" w:fill="FFFFFF"/>
      <w:spacing w:before="0" w:beforeAutospacing="0" w:after="0" w:afterAutospacing="0" w:line="360" w:lineRule="auto"/>
      <w:ind w:hanging="720"/>
      <w:outlineLvl w:val="1"/>
    </w:pPr>
    <w:rPr>
      <w:b/>
      <w:bCs/>
      <w:color w:val="0F1115"/>
    </w:rPr>
  </w:style>
  <w:style w:type="paragraph" w:styleId="Heading3">
    <w:name w:val="heading 3"/>
    <w:basedOn w:val="Normal"/>
    <w:next w:val="Normal"/>
    <w:link w:val="Heading3Char"/>
    <w:uiPriority w:val="9"/>
    <w:unhideWhenUsed/>
    <w:qFormat/>
    <w:rsid w:val="00D279C7"/>
    <w:pPr>
      <w:keepNext/>
      <w:keepLines/>
      <w:widowControl w:val="0"/>
      <w:numPr>
        <w:ilvl w:val="2"/>
        <w:numId w:val="4"/>
      </w:numPr>
      <w:spacing w:line="360" w:lineRule="auto"/>
      <w:ind w:left="720"/>
      <w:jc w:val="both"/>
      <w:outlineLvl w:val="2"/>
    </w:pPr>
    <w:rPr>
      <w:rFonts w:ascii="Times New Roman" w:eastAsiaTheme="majorEastAsia" w:hAnsi="Times New Roman" w:cs="Times New Roman"/>
      <w:b/>
      <w:bCs/>
      <w:sz w:val="24"/>
      <w:szCs w:val="24"/>
    </w:rPr>
  </w:style>
  <w:style w:type="paragraph" w:styleId="Heading4">
    <w:name w:val="heading 4"/>
    <w:basedOn w:val="Normal"/>
    <w:next w:val="Normal"/>
    <w:link w:val="Heading4Char"/>
    <w:uiPriority w:val="9"/>
    <w:semiHidden/>
    <w:unhideWhenUsed/>
    <w:qFormat/>
    <w:rsid w:val="0098511F"/>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98511F"/>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98511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511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511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511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769D"/>
    <w:rPr>
      <w:rFonts w:ascii="Times New Roman" w:eastAsia="Times New Roman" w:hAnsi="Times New Roman" w:cs="Times New Roman"/>
      <w:b/>
      <w:bCs/>
      <w:color w:val="0F1115"/>
      <w:kern w:val="0"/>
      <w:sz w:val="24"/>
      <w:szCs w:val="24"/>
      <w:shd w:val="clear" w:color="auto" w:fill="FFFFFF"/>
      <w14:ligatures w14:val="none"/>
    </w:rPr>
  </w:style>
  <w:style w:type="character" w:customStyle="1" w:styleId="Heading2Char">
    <w:name w:val="Heading 2 Char"/>
    <w:basedOn w:val="DefaultParagraphFont"/>
    <w:link w:val="Heading2"/>
    <w:uiPriority w:val="9"/>
    <w:rsid w:val="008C769D"/>
    <w:rPr>
      <w:rFonts w:ascii="Times New Roman" w:eastAsia="Times New Roman" w:hAnsi="Times New Roman" w:cs="Times New Roman"/>
      <w:b/>
      <w:bCs/>
      <w:color w:val="0F1115"/>
      <w:kern w:val="0"/>
      <w:sz w:val="24"/>
      <w:szCs w:val="24"/>
      <w:shd w:val="clear" w:color="auto" w:fill="FFFFFF"/>
      <w14:ligatures w14:val="none"/>
    </w:rPr>
  </w:style>
  <w:style w:type="character" w:customStyle="1" w:styleId="Heading3Char">
    <w:name w:val="Heading 3 Char"/>
    <w:basedOn w:val="DefaultParagraphFont"/>
    <w:link w:val="Heading3"/>
    <w:uiPriority w:val="9"/>
    <w:rsid w:val="00D279C7"/>
    <w:rPr>
      <w:rFonts w:ascii="Times New Roman" w:eastAsiaTheme="majorEastAsia" w:hAnsi="Times New Roman" w:cs="Times New Roman"/>
      <w:b/>
      <w:bCs/>
      <w:kern w:val="0"/>
      <w:sz w:val="24"/>
      <w:szCs w:val="24"/>
      <w14:ligatures w14:val="none"/>
    </w:rPr>
  </w:style>
  <w:style w:type="character" w:customStyle="1" w:styleId="Heading4Char">
    <w:name w:val="Heading 4 Char"/>
    <w:basedOn w:val="DefaultParagraphFont"/>
    <w:link w:val="Heading4"/>
    <w:uiPriority w:val="9"/>
    <w:semiHidden/>
    <w:rsid w:val="0098511F"/>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98511F"/>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9851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51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51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511F"/>
    <w:rPr>
      <w:rFonts w:eastAsiaTheme="majorEastAsia" w:cstheme="majorBidi"/>
      <w:color w:val="272727" w:themeColor="text1" w:themeTint="D8"/>
    </w:rPr>
  </w:style>
  <w:style w:type="paragraph" w:styleId="Title">
    <w:name w:val="Title"/>
    <w:basedOn w:val="Normal"/>
    <w:next w:val="Normal"/>
    <w:link w:val="TitleChar"/>
    <w:uiPriority w:val="10"/>
    <w:qFormat/>
    <w:rsid w:val="0098511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51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51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51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511F"/>
    <w:pPr>
      <w:spacing w:before="160"/>
      <w:jc w:val="center"/>
    </w:pPr>
    <w:rPr>
      <w:i/>
      <w:iCs/>
      <w:color w:val="404040" w:themeColor="text1" w:themeTint="BF"/>
    </w:rPr>
  </w:style>
  <w:style w:type="character" w:customStyle="1" w:styleId="QuoteChar">
    <w:name w:val="Quote Char"/>
    <w:basedOn w:val="DefaultParagraphFont"/>
    <w:link w:val="Quote"/>
    <w:uiPriority w:val="29"/>
    <w:rsid w:val="0098511F"/>
    <w:rPr>
      <w:i/>
      <w:iCs/>
      <w:color w:val="404040" w:themeColor="text1" w:themeTint="BF"/>
    </w:rPr>
  </w:style>
  <w:style w:type="paragraph" w:styleId="ListParagraph">
    <w:name w:val="List Paragraph"/>
    <w:basedOn w:val="Normal"/>
    <w:qFormat/>
    <w:rsid w:val="0098511F"/>
    <w:pPr>
      <w:ind w:left="720"/>
      <w:contextualSpacing/>
    </w:pPr>
  </w:style>
  <w:style w:type="character" w:styleId="IntenseEmphasis">
    <w:name w:val="Intense Emphasis"/>
    <w:basedOn w:val="DefaultParagraphFont"/>
    <w:uiPriority w:val="21"/>
    <w:qFormat/>
    <w:rsid w:val="0098511F"/>
    <w:rPr>
      <w:i/>
      <w:iCs/>
      <w:color w:val="2E74B5" w:themeColor="accent1" w:themeShade="BF"/>
    </w:rPr>
  </w:style>
  <w:style w:type="paragraph" w:styleId="IntenseQuote">
    <w:name w:val="Intense Quote"/>
    <w:basedOn w:val="Normal"/>
    <w:next w:val="Normal"/>
    <w:link w:val="IntenseQuoteChar"/>
    <w:uiPriority w:val="30"/>
    <w:qFormat/>
    <w:rsid w:val="0098511F"/>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98511F"/>
    <w:rPr>
      <w:i/>
      <w:iCs/>
      <w:color w:val="2E74B5" w:themeColor="accent1" w:themeShade="BF"/>
    </w:rPr>
  </w:style>
  <w:style w:type="character" w:styleId="IntenseReference">
    <w:name w:val="Intense Reference"/>
    <w:basedOn w:val="DefaultParagraphFont"/>
    <w:uiPriority w:val="32"/>
    <w:qFormat/>
    <w:rsid w:val="0098511F"/>
    <w:rPr>
      <w:b/>
      <w:bCs/>
      <w:smallCaps/>
      <w:color w:val="2E74B5" w:themeColor="accent1" w:themeShade="BF"/>
      <w:spacing w:val="5"/>
    </w:rPr>
  </w:style>
  <w:style w:type="character" w:styleId="Hyperlink">
    <w:name w:val="Hyperlink"/>
    <w:uiPriority w:val="99"/>
    <w:unhideWhenUsed/>
    <w:rsid w:val="0098511F"/>
    <w:rPr>
      <w:color w:val="0563C1"/>
      <w:u w:val="single"/>
    </w:rPr>
  </w:style>
  <w:style w:type="paragraph" w:styleId="TOC1">
    <w:name w:val="toc 1"/>
    <w:basedOn w:val="Normal"/>
    <w:next w:val="Normal"/>
    <w:autoRedefine/>
    <w:uiPriority w:val="39"/>
    <w:unhideWhenUsed/>
    <w:rsid w:val="0098511F"/>
    <w:pPr>
      <w:spacing w:after="100"/>
    </w:pPr>
  </w:style>
  <w:style w:type="paragraph" w:styleId="TOC2">
    <w:name w:val="toc 2"/>
    <w:basedOn w:val="Normal"/>
    <w:next w:val="Normal"/>
    <w:autoRedefine/>
    <w:uiPriority w:val="39"/>
    <w:unhideWhenUsed/>
    <w:rsid w:val="0098511F"/>
    <w:pPr>
      <w:spacing w:after="100"/>
      <w:ind w:left="220"/>
    </w:pPr>
  </w:style>
  <w:style w:type="paragraph" w:customStyle="1" w:styleId="ds-markdown-paragraph">
    <w:name w:val="ds-markdown-paragraph"/>
    <w:basedOn w:val="Normal"/>
    <w:rsid w:val="00C060AF"/>
    <w:pPr>
      <w:spacing w:before="100" w:beforeAutospacing="1" w:after="100" w:afterAutospacing="1"/>
    </w:pPr>
    <w:rPr>
      <w:rFonts w:ascii="Times New Roman" w:eastAsia="Times New Roman" w:hAnsi="Times New Roman" w:cs="Times New Roman"/>
      <w:sz w:val="24"/>
      <w:szCs w:val="24"/>
    </w:rPr>
  </w:style>
  <w:style w:type="character" w:styleId="Strong">
    <w:name w:val="Strong"/>
    <w:basedOn w:val="DefaultParagraphFont"/>
    <w:uiPriority w:val="22"/>
    <w:qFormat/>
    <w:rsid w:val="009843C1"/>
    <w:rPr>
      <w:b/>
      <w:bCs/>
    </w:rPr>
  </w:style>
  <w:style w:type="paragraph" w:styleId="NormalWeb">
    <w:name w:val="Normal (Web)"/>
    <w:basedOn w:val="Normal"/>
    <w:uiPriority w:val="99"/>
    <w:unhideWhenUsed/>
    <w:rsid w:val="00546F56"/>
    <w:pPr>
      <w:spacing w:before="100" w:beforeAutospacing="1" w:after="100" w:afterAutospacing="1"/>
    </w:pPr>
    <w:rPr>
      <w:rFonts w:ascii="Times New Roman" w:eastAsia="Times New Roman" w:hAnsi="Times New Roman" w:cs="Times New Roman"/>
      <w:sz w:val="24"/>
      <w:szCs w:val="24"/>
    </w:rPr>
  </w:style>
  <w:style w:type="paragraph" w:customStyle="1" w:styleId="isselectedend">
    <w:name w:val="isselectedend"/>
    <w:basedOn w:val="Normal"/>
    <w:uiPriority w:val="99"/>
    <w:rsid w:val="00546F56"/>
    <w:pPr>
      <w:spacing w:before="100" w:beforeAutospacing="1" w:after="100" w:afterAutospacing="1"/>
    </w:pPr>
    <w:rPr>
      <w:rFonts w:ascii="Times New Roman" w:eastAsia="Times New Roman" w:hAnsi="Times New Roman" w:cs="Times New Roman"/>
      <w:sz w:val="24"/>
      <w:szCs w:val="24"/>
    </w:rPr>
  </w:style>
  <w:style w:type="character" w:styleId="Emphasis">
    <w:name w:val="Emphasis"/>
    <w:basedOn w:val="DefaultParagraphFont"/>
    <w:uiPriority w:val="20"/>
    <w:qFormat/>
    <w:rsid w:val="008F24D5"/>
    <w:rPr>
      <w:i/>
      <w:iCs/>
    </w:rPr>
  </w:style>
  <w:style w:type="table" w:styleId="GridTable4-Accent4">
    <w:name w:val="Grid Table 4 Accent 4"/>
    <w:basedOn w:val="TableNormal"/>
    <w:uiPriority w:val="49"/>
    <w:rsid w:val="0025521E"/>
    <w:pPr>
      <w:spacing w:after="0" w:line="240" w:lineRule="auto"/>
    </w:pPr>
    <w:rPr>
      <w:rFonts w:ascii="Times New Roman" w:eastAsia="Times New Roman" w:hAnsi="Times New Roman" w:cs="Times New Roman"/>
      <w:kern w:val="0"/>
      <w:sz w:val="24"/>
      <w:szCs w:val="24"/>
      <w14:ligatures w14:val="none"/>
    </w:rPr>
    <w:tblPr>
      <w:tblStyleRowBandSize w:val="1"/>
      <w:tblStyleColBandSize w:val="1"/>
      <w:tblInd w:w="0" w:type="nil"/>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1">
    <w:name w:val="Grid Table 4 Accent 1"/>
    <w:basedOn w:val="TableNormal"/>
    <w:uiPriority w:val="49"/>
    <w:rsid w:val="0025521E"/>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styleId="UnresolvedMention">
    <w:name w:val="Unresolved Mention"/>
    <w:basedOn w:val="DefaultParagraphFont"/>
    <w:uiPriority w:val="99"/>
    <w:semiHidden/>
    <w:unhideWhenUsed/>
    <w:rsid w:val="00EA4B6B"/>
    <w:rPr>
      <w:color w:val="605E5C"/>
      <w:shd w:val="clear" w:color="auto" w:fill="E1DFDD"/>
    </w:rPr>
  </w:style>
  <w:style w:type="paragraph" w:styleId="TOCHeading">
    <w:name w:val="TOC Heading"/>
    <w:basedOn w:val="Heading1"/>
    <w:next w:val="Normal"/>
    <w:uiPriority w:val="39"/>
    <w:unhideWhenUsed/>
    <w:qFormat/>
    <w:rsid w:val="00EA4B6B"/>
    <w:pPr>
      <w:keepNext/>
      <w:keepLines/>
      <w:widowControl/>
      <w:numPr>
        <w:numId w:val="0"/>
      </w:numPr>
      <w:shd w:val="clear" w:color="auto" w:fill="auto"/>
      <w:spacing w:before="240" w:line="259" w:lineRule="auto"/>
      <w:jc w:val="left"/>
      <w:outlineLvl w:val="9"/>
    </w:pPr>
    <w:rPr>
      <w:rFonts w:asciiTheme="majorHAnsi" w:eastAsiaTheme="majorEastAsia" w:hAnsiTheme="majorHAnsi" w:cstheme="majorBidi"/>
      <w:b w:val="0"/>
      <w:bCs w:val="0"/>
      <w:color w:val="2E74B5" w:themeColor="accent1" w:themeShade="BF"/>
      <w:sz w:val="32"/>
      <w:szCs w:val="32"/>
    </w:rPr>
  </w:style>
  <w:style w:type="paragraph" w:styleId="TOC3">
    <w:name w:val="toc 3"/>
    <w:basedOn w:val="Normal"/>
    <w:next w:val="Normal"/>
    <w:autoRedefine/>
    <w:uiPriority w:val="39"/>
    <w:unhideWhenUsed/>
    <w:rsid w:val="00EA4B6B"/>
    <w:pPr>
      <w:spacing w:after="100"/>
      <w:ind w:left="440"/>
    </w:pPr>
  </w:style>
  <w:style w:type="paragraph" w:styleId="Header">
    <w:name w:val="header"/>
    <w:basedOn w:val="Normal"/>
    <w:link w:val="HeaderChar"/>
    <w:uiPriority w:val="99"/>
    <w:unhideWhenUsed/>
    <w:rsid w:val="00EA4B6B"/>
    <w:pPr>
      <w:tabs>
        <w:tab w:val="center" w:pos="4680"/>
        <w:tab w:val="right" w:pos="9360"/>
      </w:tabs>
    </w:pPr>
  </w:style>
  <w:style w:type="character" w:customStyle="1" w:styleId="HeaderChar">
    <w:name w:val="Header Char"/>
    <w:basedOn w:val="DefaultParagraphFont"/>
    <w:link w:val="Header"/>
    <w:uiPriority w:val="99"/>
    <w:rsid w:val="00EA4B6B"/>
    <w:rPr>
      <w:rFonts w:ascii="Calibri" w:eastAsia="Calibri" w:hAnsi="Calibri" w:cs="Calibri"/>
      <w:kern w:val="0"/>
      <w14:ligatures w14:val="none"/>
    </w:rPr>
  </w:style>
  <w:style w:type="paragraph" w:styleId="Footer">
    <w:name w:val="footer"/>
    <w:basedOn w:val="Normal"/>
    <w:link w:val="FooterChar"/>
    <w:uiPriority w:val="99"/>
    <w:unhideWhenUsed/>
    <w:rsid w:val="00EA4B6B"/>
    <w:pPr>
      <w:tabs>
        <w:tab w:val="center" w:pos="4680"/>
        <w:tab w:val="right" w:pos="9360"/>
      </w:tabs>
    </w:pPr>
  </w:style>
  <w:style w:type="character" w:customStyle="1" w:styleId="FooterChar">
    <w:name w:val="Footer Char"/>
    <w:basedOn w:val="DefaultParagraphFont"/>
    <w:link w:val="Footer"/>
    <w:uiPriority w:val="99"/>
    <w:rsid w:val="00EA4B6B"/>
    <w:rPr>
      <w:rFonts w:ascii="Calibri" w:eastAsia="Calibri" w:hAnsi="Calibri" w:cs="Calibri"/>
      <w:kern w:val="0"/>
      <w14:ligatures w14:val="none"/>
    </w:rPr>
  </w:style>
  <w:style w:type="table" w:styleId="PlainTable1">
    <w:name w:val="Plain Table 1"/>
    <w:basedOn w:val="TableNormal"/>
    <w:uiPriority w:val="41"/>
    <w:rsid w:val="00F51FE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paragraph">
    <w:name w:val="paragraph"/>
    <w:basedOn w:val="Normal"/>
    <w:rsid w:val="00F863FD"/>
    <w:pPr>
      <w:spacing w:before="100" w:beforeAutospacing="1" w:after="100" w:afterAutospacing="1"/>
    </w:pPr>
    <w:rPr>
      <w:rFonts w:ascii="Times New Roman" w:eastAsia="Times New Roman" w:hAnsi="Times New Roman" w:cs="Times New Roman"/>
      <w:sz w:val="24"/>
      <w:szCs w:val="24"/>
      <w:lang w:val="en-GB" w:eastAsia="zh-CN"/>
    </w:rPr>
  </w:style>
  <w:style w:type="character" w:customStyle="1" w:styleId="normaltextrun">
    <w:name w:val="normaltextrun"/>
    <w:basedOn w:val="DefaultParagraphFont"/>
    <w:rsid w:val="00F863FD"/>
  </w:style>
  <w:style w:type="character" w:customStyle="1" w:styleId="eop">
    <w:name w:val="eop"/>
    <w:basedOn w:val="DefaultParagraphFont"/>
    <w:rsid w:val="00F863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urnal.lifescifi.com/index.php/ibr/article/view/1334" TargetMode="External"/><Relationship Id="rId18" Type="http://schemas.openxmlformats.org/officeDocument/2006/relationships/hyperlink" Target="https://fintechmagazine.com/"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computerweekly.com/news/366620352/Big-bank-systems-down-for-over-800-hours-in-last-two-years-due-to-IT-outages" TargetMode="External"/><Relationship Id="rId17" Type="http://schemas.openxmlformats.org/officeDocument/2006/relationships/hyperlink" Target="https://researchbasics.education.uconn.edu/ethics-and-informed-consent/"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www.nasdaq.com/press-release/fico-survey-fraud-department-secret-weapon-uk-customer-acquisition-2025-10-29" TargetMode="External"/><Relationship Id="rId20" Type="http://schemas.openxmlformats.org/officeDocument/2006/relationships/hyperlink" Target="https://www.ukfinance.org.uk/news-and-insight/blog/moving-fraud-prevention-upstream-why-collaboration-only-sustainable-defen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usinessquarter.co.uk/uk-banks-close-branches-as-digital-rises/"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moneyweek.com/personal-finance/bank-app-outage-compensation"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fintechmagazine.com/articles/gft-uk-banks-face-consumer-distrust-over-it-resilience"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bc.com/news/articles/cy94vz4zd7zo"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80528E-21D6-4EA1-B747-CD99AD2C44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690</TotalTime>
  <Pages>81</Pages>
  <Words>25344</Words>
  <Characters>144463</Characters>
  <Application>Microsoft Office Word</Application>
  <DocSecurity>0</DocSecurity>
  <Lines>1203</Lines>
  <Paragraphs>338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Aamir Sohail</dc:creator>
  <cp:keywords/>
  <dc:description/>
  <cp:lastModifiedBy>Microsoft Account</cp:lastModifiedBy>
  <cp:revision>37</cp:revision>
  <dcterms:created xsi:type="dcterms:W3CDTF">2026-07-12T18:19:00Z</dcterms:created>
  <dcterms:modified xsi:type="dcterms:W3CDTF">2026-08-27T14:31:00Z</dcterms:modified>
</cp:coreProperties>
</file>