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Florin Munteanu</w:t>
      </w:r>
    </w:p>
    <w:p w:rsidR="00000000" w:rsidDel="00000000" w:rsidP="00000000" w:rsidRDefault="00000000" w:rsidRPr="00000000" w14:paraId="00000002">
      <w:pPr>
        <w:rPr>
          <w:b w:val="1"/>
        </w:rPr>
      </w:pPr>
      <w:r w:rsidDel="00000000" w:rsidR="00000000" w:rsidRPr="00000000">
        <w:rPr>
          <w:b w:val="1"/>
          <w:rtl w:val="0"/>
        </w:rPr>
        <w:t xml:space="preserve">2240211</w:t>
      </w:r>
    </w:p>
    <w:p w:rsidR="00000000" w:rsidDel="00000000" w:rsidP="00000000" w:rsidRDefault="00000000" w:rsidRPr="00000000" w14:paraId="00000003">
      <w:pPr>
        <w:rPr>
          <w:b w:val="1"/>
        </w:rPr>
      </w:pPr>
      <w:r w:rsidDel="00000000" w:rsidR="00000000" w:rsidRPr="00000000">
        <w:rPr>
          <w:b w:val="1"/>
          <w:rtl w:val="0"/>
        </w:rPr>
        <w:t xml:space="preserve">Contemporary Challenges</w:t>
      </w:r>
    </w:p>
    <w:p w:rsidR="00000000" w:rsidDel="00000000" w:rsidP="00000000" w:rsidRDefault="00000000" w:rsidRPr="00000000" w14:paraId="00000004">
      <w:pPr>
        <w:rPr>
          <w:b w:val="1"/>
        </w:rPr>
      </w:pPr>
      <w:r w:rsidDel="00000000" w:rsidR="00000000" w:rsidRPr="00000000">
        <w:rPr>
          <w:b w:val="1"/>
          <w:rtl w:val="0"/>
        </w:rPr>
        <w:t xml:space="preserve">BMSW4007</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b w:val="1"/>
          <w:sz w:val="28"/>
          <w:szCs w:val="28"/>
        </w:rPr>
      </w:pPr>
      <w:r w:rsidDel="00000000" w:rsidR="00000000" w:rsidRPr="00000000">
        <w:rPr>
          <w:b w:val="1"/>
          <w:rtl w:val="0"/>
        </w:rPr>
        <w:t xml:space="preserve">                                     </w:t>
      </w:r>
      <w:r w:rsidDel="00000000" w:rsidR="00000000" w:rsidRPr="00000000">
        <w:rPr>
          <w:b w:val="1"/>
          <w:sz w:val="28"/>
          <w:szCs w:val="28"/>
          <w:rtl w:val="0"/>
        </w:rPr>
        <w:t xml:space="preserve">The importance of well-weing in schools</w:t>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Introduction</w:t>
      </w:r>
    </w:p>
    <w:p w:rsidR="00000000" w:rsidDel="00000000" w:rsidP="00000000" w:rsidRDefault="00000000" w:rsidRPr="00000000" w14:paraId="00000011">
      <w:pPr>
        <w:rPr/>
      </w:pPr>
      <w:r w:rsidDel="00000000" w:rsidR="00000000" w:rsidRPr="00000000">
        <w:rPr>
          <w:rtl w:val="0"/>
        </w:rPr>
        <w:t xml:space="preserve">In recent years, the focus on student well-being in educational settings has intensified. Well-being in schools encompasses physical, emotional, and mental health, contributing significantly to the overall development and academic success of students. This report explores the importance of integrating well-being into school curricula and environments.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b w:val="1"/>
          <w:rtl w:val="0"/>
        </w:rPr>
        <w:t xml:space="preserve">The Link Between Well-being and Academic Performance</w:t>
      </w:r>
    </w:p>
    <w:p w:rsidR="00000000" w:rsidDel="00000000" w:rsidP="00000000" w:rsidRDefault="00000000" w:rsidRPr="00000000" w14:paraId="00000014">
      <w:pPr>
        <w:rPr/>
      </w:pPr>
      <w:r w:rsidDel="00000000" w:rsidR="00000000" w:rsidRPr="00000000">
        <w:rPr>
          <w:rtl w:val="0"/>
        </w:rPr>
        <w:t xml:space="preserve">Studies indicate a strong correlation between student well-being and their academic achievements. Seligman et al. (2009) highlight that positive education, which combines traditional education with elements that promote well-being, leads to improved academic performance. Similarly, Waters (2011) observes that well-being initiatives positively influence students' engagement and learning outcomes.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b w:val="1"/>
          <w:rtl w:val="0"/>
        </w:rPr>
        <w:t xml:space="preserve">Mental Health Challenges in Schools</w:t>
      </w:r>
    </w:p>
    <w:p w:rsidR="00000000" w:rsidDel="00000000" w:rsidP="00000000" w:rsidRDefault="00000000" w:rsidRPr="00000000" w14:paraId="00000017">
      <w:pPr>
        <w:rPr/>
      </w:pPr>
      <w:r w:rsidDel="00000000" w:rsidR="00000000" w:rsidRPr="00000000">
        <w:rPr>
          <w:rtl w:val="0"/>
        </w:rPr>
        <w:t xml:space="preserve">The prevalence of mental health issues among children and adolescents is a growing concern. Greenberg et al. (2017) emphasize that social and emotional learning in schools is vital for addressing these challenges. Huppert and Johnson (2010) further argue that mindfulness and well-being practices can significantly reduce anxiety and stress among students.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Benefits of Well-being Programs</w:t>
      </w:r>
    </w:p>
    <w:p w:rsidR="00000000" w:rsidDel="00000000" w:rsidP="00000000" w:rsidRDefault="00000000" w:rsidRPr="00000000" w14:paraId="0000001A">
      <w:pPr>
        <w:rPr/>
      </w:pPr>
      <w:r w:rsidDel="00000000" w:rsidR="00000000" w:rsidRPr="00000000">
        <w:rPr>
          <w:rtl w:val="0"/>
        </w:rPr>
        <w:t xml:space="preserve">Well-being programs in schools offer numerous benefits. Lyubomirsky, King, and Diener (2005) suggest that positive emotional states can lead to success in various life domains. Shoshani and Steinmetz (2014) demonstrate that school-based well-being interventions can enhance students' happiness and life satisfaction.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Teacher and School Roles in Promoting Well-being</w:t>
      </w:r>
    </w:p>
    <w:p w:rsidR="00000000" w:rsidDel="00000000" w:rsidP="00000000" w:rsidRDefault="00000000" w:rsidRPr="00000000" w14:paraId="0000001D">
      <w:pPr>
        <w:rPr/>
      </w:pPr>
      <w:r w:rsidDel="00000000" w:rsidR="00000000" w:rsidRPr="00000000">
        <w:rPr>
          <w:rtl w:val="0"/>
        </w:rPr>
        <w:t xml:space="preserve">The role of educators is crucial in promoting well-being. Roffey (2012) argues for the importance of teacher well-being as a precursor to fostering a positive environment for students. Ecclestone and Hayes (2009) caution against overemphasizing therapeutic education but acknowledge the importance of a balanced approach.</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b w:val="1"/>
          <w:rtl w:val="0"/>
        </w:rPr>
        <w:t xml:space="preserve">Case Studies and Global Perspectives</w:t>
      </w:r>
    </w:p>
    <w:p w:rsidR="00000000" w:rsidDel="00000000" w:rsidP="00000000" w:rsidRDefault="00000000" w:rsidRPr="00000000" w14:paraId="00000020">
      <w:pPr>
        <w:rPr/>
      </w:pPr>
      <w:r w:rsidDel="00000000" w:rsidR="00000000" w:rsidRPr="00000000">
        <w:rPr>
          <w:rtl w:val="0"/>
        </w:rPr>
        <w:t xml:space="preserve">Adler (2016) presents evidence from Bhutan, Mexico, and Peru, showing that teaching well-being can boost academic performance. This global perspective is vital in understanding the universal benefits of well-being in education.</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The Emphasize stage is a crucial phase where designers immerse themselves in the users' environment to gain an in-depth understanding of their needs, experiences, and motivations. This stage serves as the bedrock for the entire Design Thinking process, underpinning the development of user-centric solutions that are not only innovative but also deeply resonant with the target audience.</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In Design Thinking, empathizing is more than just observing or interviewing users; it’s about fully immersing oneself into their experiences. As Mootee (2013) in "Design Thinking for Strategic Innovation" explains, this immersion involves seeing the world through the users' eyes, feeling what they feel, and experiencing what they experience. This deep dive into the user's world is crucial for uncovering insights that go beyond the surface level, allowing designers to understand not just the explicit needs of users but also their implicit desires and the emotions driving their behaviors.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importance of this stage cannot be overstated. As Liedtka and Ogilvie point out in "Designing for Growth" (2011), empathy in Design Thinking is about more than just identifying with the user. It's about an objective and analytical understanding of the user's needs, which often involves uncovering needs that users themselves may not be aware of. This understanding is critical for the development of solutions that are not just desirable, but also truly address the underlying challenges faced by the users.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To effectively empathize, designers employ a variety of methods such as user interviews, shadowing, ethnographic studies, and empathy mapping. These techniques allow designers to gather qualitative data, which is then meticulously analyzed to identify patterns and insights. This user-focused research is paramount in ensuring that the subsequent stages of the Design Thinking process - Define, Ideate, Prototype, and Test - are grounded in a real understanding of the users.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Moreover, the Empathize stage requires designers to set aside their own assumptions and biases, focusing instead on the users' perspectives. This shift is essential for fostering genuine insights and preventing the projection of the designer's own experiences onto the users.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Using the Empathize stage in Design Thinking these are my main findings: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b w:val="1"/>
          <w:rtl w:val="0"/>
        </w:rPr>
        <w:t xml:space="preserve">Mental Health Awareness and Support</w:t>
      </w:r>
      <w:r w:rsidDel="00000000" w:rsidR="00000000" w:rsidRPr="00000000">
        <w:rPr>
          <w:rtl w:val="0"/>
        </w:rPr>
        <w:t xml:space="preserve">: These classes can teach students about mental health, helping them recognize signs of mental distress in themselves and others. This awareness can lead to early intervention and support.</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b w:val="1"/>
          <w:rtl w:val="0"/>
        </w:rPr>
        <w:t xml:space="preserve">Stress Management Skills</w:t>
      </w:r>
      <w:r w:rsidDel="00000000" w:rsidR="00000000" w:rsidRPr="00000000">
        <w:rPr>
          <w:rtl w:val="0"/>
        </w:rPr>
        <w:t xml:space="preserve">: Students often face high levels of stress due to academic pressures, social dynamics, and personal issues. Well-being classes can provide them with tools and techniques to manage stress effectively.</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b w:val="1"/>
          <w:rtl w:val="0"/>
        </w:rPr>
        <w:t xml:space="preserve">Emotional Intelligence Development</w:t>
      </w:r>
      <w:r w:rsidDel="00000000" w:rsidR="00000000" w:rsidRPr="00000000">
        <w:rPr>
          <w:rtl w:val="0"/>
        </w:rPr>
        <w:t xml:space="preserve">: Such classes can help students develop emotional intelligence, which includes self-awareness, empathy, and the ability to regulate emotions. This is crucial for personal and professional success.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b w:val="1"/>
          <w:rtl w:val="0"/>
        </w:rPr>
        <w:t xml:space="preserve">Healthy Lifestyle Promotion</w:t>
      </w:r>
      <w:r w:rsidDel="00000000" w:rsidR="00000000" w:rsidRPr="00000000">
        <w:rPr>
          <w:rtl w:val="0"/>
        </w:rPr>
        <w:t xml:space="preserve">: Well-being classes often cover topics like nutrition, exercise, and sleep, promoting a healthy lifestyle among students, which is important for their physical and mental health.</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b w:val="1"/>
          <w:rtl w:val="0"/>
        </w:rPr>
        <w:t xml:space="preserve">Building Resilience</w:t>
      </w:r>
      <w:r w:rsidDel="00000000" w:rsidR="00000000" w:rsidRPr="00000000">
        <w:rPr>
          <w:rtl w:val="0"/>
        </w:rPr>
        <w:t xml:space="preserve">: By teaching coping strategies and problem-solving skills, these classes help students build resilience, enabling them to better handle challenges and setbacks.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b w:val="1"/>
          <w:rtl w:val="0"/>
        </w:rPr>
        <w:t xml:space="preserve">Social Skills and Relationships</w:t>
      </w:r>
      <w:r w:rsidDel="00000000" w:rsidR="00000000" w:rsidRPr="00000000">
        <w:rPr>
          <w:rtl w:val="0"/>
        </w:rPr>
        <w:t xml:space="preserve">: They can also focus on social skills, relationship building, and effective communication, which are vital for personal and social well-being.</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b w:val="1"/>
          <w:rtl w:val="0"/>
        </w:rPr>
        <w:t xml:space="preserve">Creating a Supportive School Environmen</w:t>
      </w:r>
      <w:r w:rsidDel="00000000" w:rsidR="00000000" w:rsidRPr="00000000">
        <w:rPr>
          <w:rtl w:val="0"/>
        </w:rPr>
        <w:t xml:space="preserve">t: Incorporating well-being into the curriculum can create a more supportive and understanding school environment, reducing stigma around mental health issues and fostering a sense of community.</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b w:val="1"/>
          <w:rtl w:val="0"/>
        </w:rPr>
        <w:t xml:space="preserve">Long-Term Benefits</w:t>
      </w:r>
      <w:r w:rsidDel="00000000" w:rsidR="00000000" w:rsidRPr="00000000">
        <w:rPr>
          <w:rtl w:val="0"/>
        </w:rPr>
        <w:t xml:space="preserve">: Skills learned in well-being classes can have long-term benefits for students, contributing to their overall well-being and success in various aspects of life beyond school.</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b w:val="1"/>
          <w:rtl w:val="0"/>
        </w:rPr>
        <w:t xml:space="preserve">Conclusion</w:t>
      </w:r>
    </w:p>
    <w:p w:rsidR="00000000" w:rsidDel="00000000" w:rsidP="00000000" w:rsidRDefault="00000000" w:rsidRPr="00000000" w14:paraId="00000043">
      <w:pPr>
        <w:rPr/>
      </w:pPr>
      <w:r w:rsidDel="00000000" w:rsidR="00000000" w:rsidRPr="00000000">
        <w:rPr>
          <w:rtl w:val="0"/>
        </w:rPr>
        <w:t xml:space="preserve">The incorporation of well-being programs in schools is essential for holistic student development. These programs not only enhance academic performance but also equip students with skills to navigate life challenges effectively.</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rtl w:val="0"/>
        </w:rPr>
      </w:r>
    </w:p>
    <w:p w:rsidR="00000000" w:rsidDel="00000000" w:rsidP="00000000" w:rsidRDefault="00000000" w:rsidRPr="00000000" w14:paraId="00000048">
      <w:pPr>
        <w:rPr>
          <w:b w:val="1"/>
        </w:rPr>
      </w:pPr>
      <w:r w:rsidDel="00000000" w:rsidR="00000000" w:rsidRPr="00000000">
        <w:rPr>
          <w:b w:val="1"/>
          <w:rtl w:val="0"/>
        </w:rPr>
        <w:t xml:space="preserve">References:</w:t>
      </w:r>
    </w:p>
    <w:p w:rsidR="00000000" w:rsidDel="00000000" w:rsidP="00000000" w:rsidRDefault="00000000" w:rsidRPr="00000000" w14:paraId="00000049">
      <w:pPr>
        <w:rPr>
          <w:b w:val="1"/>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Adler, A., 2016. Teaching well-being increases academic performance: Evidence from Bhutan, Mexico, and Peru. *Publicly Accessible Penn Diss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Ecclestone, K. and Hayes, D., 2009. The dangerous rise of therapeutic education. Routledge.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Greenberg, M.T., Domitrovich, C., Weissberg, R.P. and Durlak, J.A., 2017. Social and emotional learning as a public health approach to education. The Future of Children, 27(1), pp.13-32.</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Huppert, F.A. and Johnson, D.M., 2010. A controlled trial of mindfulness training in schools: The importance of practice for an impact on well-being. The Journal of Positive Psychology, 5(4), pp.264-274.</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Liedtka, J. and Ogilvie, T. (2011). Designing for growth : a design thinking tool kit for managers. New York: Columbia Business School Publishing.</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Lyubomirsky, S., King, L. and Diener, E., 2005. The benefits of frequent positive affect: Does happiness lead to success? Psychological Bulletin, 131(6), pp.803-855.</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Mootee, I. (2013). Design thinking for strategic innovation what they can’t teach you at business or design school. Hoboken Wiley Cop.</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Roffey, S., 2012. Pupil wellbeing - Teacher wellbeing: Two sides of the same coin? Educational &amp; Child Psychology, 29(4), pp.8-17.</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Seligman, M.E.P., Ernst, R.M., Gillham, J., Reivich, K. and Linkins, M., 2009. Positive education: Positive psychology and classroom interventions. Oxford Review of Education, 35(3), pp.293-311.</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Shoshani, A. and Steinmetz, S., 2014. Positive psychology at school: A school-based intervention to promote adolescents' mental health and well-being. Journal of Happiness Studies, 15(6), pp.1289-1311.</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Waters, L., 2011. A review of school-based positive psychology interventions. Australian Educational and Developmental Psychologist, 28(2), pp.75-90.</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rPr>
      </w:pPr>
      <w:r w:rsidDel="00000000" w:rsidR="00000000" w:rsidRPr="00000000">
        <w:rPr>
          <w:rtl w:val="0"/>
        </w:rPr>
      </w:r>
    </w:p>
    <w:p w:rsidR="00000000" w:rsidDel="00000000" w:rsidP="00000000" w:rsidRDefault="00000000" w:rsidRPr="00000000" w14:paraId="00000068">
      <w:pPr>
        <w:rPr>
          <w:b w:val="1"/>
        </w:rPr>
      </w:pPr>
      <w:r w:rsidDel="00000000" w:rsidR="00000000" w:rsidRPr="00000000">
        <w:rPr>
          <w:rtl w:val="0"/>
        </w:rPr>
      </w:r>
    </w:p>
    <w:p w:rsidR="00000000" w:rsidDel="00000000" w:rsidP="00000000" w:rsidRDefault="00000000" w:rsidRPr="00000000" w14:paraId="00000069">
      <w:pPr>
        <w:rPr>
          <w:b w:val="1"/>
        </w:rPr>
      </w:pPr>
      <w:r w:rsidDel="00000000" w:rsidR="00000000" w:rsidRPr="00000000">
        <w:rPr>
          <w:rtl w:val="0"/>
        </w:rPr>
      </w:r>
    </w:p>
    <w:p w:rsidR="00000000" w:rsidDel="00000000" w:rsidP="00000000" w:rsidRDefault="00000000" w:rsidRPr="00000000" w14:paraId="0000006A">
      <w:pPr>
        <w:rPr>
          <w:b w:val="1"/>
        </w:rPr>
      </w:pPr>
      <w:r w:rsidDel="00000000" w:rsidR="00000000" w:rsidRPr="00000000">
        <w:rPr>
          <w:rtl w:val="0"/>
        </w:rPr>
      </w:r>
    </w:p>
    <w:p w:rsidR="00000000" w:rsidDel="00000000" w:rsidP="00000000" w:rsidRDefault="00000000" w:rsidRPr="00000000" w14:paraId="0000006B">
      <w:pPr>
        <w:rPr>
          <w:b w:val="1"/>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rtl w:val="0"/>
        </w:rPr>
      </w:r>
    </w:p>
    <w:p w:rsidR="00000000" w:rsidDel="00000000" w:rsidP="00000000" w:rsidRDefault="00000000" w:rsidRPr="00000000" w14:paraId="0000006D">
      <w:pPr>
        <w:rPr>
          <w:b w:val="1"/>
        </w:rPr>
      </w:pPr>
      <w:r w:rsidDel="00000000" w:rsidR="00000000" w:rsidRPr="00000000">
        <w:rPr>
          <w:rtl w:val="0"/>
        </w:rPr>
      </w:r>
    </w:p>
    <w:p w:rsidR="00000000" w:rsidDel="00000000" w:rsidP="00000000" w:rsidRDefault="00000000" w:rsidRPr="00000000" w14:paraId="0000006E">
      <w:pPr>
        <w:rPr>
          <w:b w:val="1"/>
        </w:rPr>
      </w:pPr>
      <w:r w:rsidDel="00000000" w:rsidR="00000000" w:rsidRPr="00000000">
        <w:rPr>
          <w:rtl w:val="0"/>
        </w:rPr>
      </w:r>
    </w:p>
    <w:p w:rsidR="00000000" w:rsidDel="00000000" w:rsidP="00000000" w:rsidRDefault="00000000" w:rsidRPr="00000000" w14:paraId="0000006F">
      <w:pPr>
        <w:rPr>
          <w:b w:val="1"/>
        </w:rPr>
      </w:pPr>
      <w:r w:rsidDel="00000000" w:rsidR="00000000" w:rsidRPr="00000000">
        <w:rPr>
          <w:rtl w:val="0"/>
        </w:rPr>
      </w:r>
    </w:p>
    <w:p w:rsidR="00000000" w:rsidDel="00000000" w:rsidP="00000000" w:rsidRDefault="00000000" w:rsidRPr="00000000" w14:paraId="00000070">
      <w:pPr>
        <w:rPr>
          <w:b w:val="1"/>
        </w:rPr>
      </w:pPr>
      <w:r w:rsidDel="00000000" w:rsidR="00000000" w:rsidRPr="00000000">
        <w:rPr>
          <w:rtl w:val="0"/>
        </w:rPr>
      </w:r>
    </w:p>
    <w:p w:rsidR="00000000" w:rsidDel="00000000" w:rsidP="00000000" w:rsidRDefault="00000000" w:rsidRPr="00000000" w14:paraId="00000071">
      <w:pPr>
        <w:rPr>
          <w:b w:val="1"/>
        </w:rPr>
      </w:pPr>
      <w:r w:rsidDel="00000000" w:rsidR="00000000" w:rsidRPr="00000000">
        <w:rPr>
          <w:rtl w:val="0"/>
        </w:rPr>
      </w:r>
    </w:p>
    <w:p w:rsidR="00000000" w:rsidDel="00000000" w:rsidP="00000000" w:rsidRDefault="00000000" w:rsidRPr="00000000" w14:paraId="00000072">
      <w:pPr>
        <w:rPr>
          <w:b w:val="1"/>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