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06A8F" w14:textId="0C5DCF61" w:rsidR="001179EB" w:rsidRPr="001179EB" w:rsidRDefault="001179EB" w:rsidP="009837A5">
      <w:pPr>
        <w:spacing w:line="360" w:lineRule="auto"/>
        <w:jc w:val="center"/>
        <w:rPr>
          <w:rFonts w:ascii="Arial" w:hAnsi="Arial" w:cs="Arial"/>
          <w:sz w:val="24"/>
          <w:szCs w:val="24"/>
          <w:u w:val="single"/>
        </w:rPr>
      </w:pPr>
      <w:r>
        <w:rPr>
          <w:rFonts w:ascii="Arial" w:hAnsi="Arial" w:cs="Arial"/>
          <w:sz w:val="24"/>
          <w:szCs w:val="24"/>
          <w:u w:val="single"/>
        </w:rPr>
        <w:t>Are Criminals Born or Made?</w:t>
      </w:r>
    </w:p>
    <w:p w14:paraId="1BD743F7" w14:textId="0FC3DCF5" w:rsidR="00B11BAF" w:rsidRDefault="00B11BAF" w:rsidP="009837A5">
      <w:pPr>
        <w:spacing w:line="360" w:lineRule="auto"/>
        <w:jc w:val="both"/>
        <w:rPr>
          <w:rFonts w:ascii="Arial" w:hAnsi="Arial" w:cs="Arial"/>
          <w:sz w:val="24"/>
          <w:szCs w:val="24"/>
        </w:rPr>
      </w:pPr>
      <w:r>
        <w:rPr>
          <w:rFonts w:ascii="Arial" w:hAnsi="Arial" w:cs="Arial"/>
          <w:sz w:val="24"/>
          <w:szCs w:val="24"/>
        </w:rPr>
        <w:t xml:space="preserve">This paper is going to discuss if criminals </w:t>
      </w:r>
      <w:r w:rsidR="00197F67">
        <w:rPr>
          <w:rFonts w:ascii="Arial" w:hAnsi="Arial" w:cs="Arial"/>
          <w:sz w:val="24"/>
          <w:szCs w:val="24"/>
        </w:rPr>
        <w:t>are</w:t>
      </w:r>
      <w:r>
        <w:rPr>
          <w:rFonts w:ascii="Arial" w:hAnsi="Arial" w:cs="Arial"/>
          <w:sz w:val="24"/>
          <w:szCs w:val="24"/>
        </w:rPr>
        <w:t xml:space="preserve"> born rather than made. </w:t>
      </w:r>
      <w:r w:rsidR="00197F67">
        <w:rPr>
          <w:rFonts w:ascii="Arial" w:hAnsi="Arial" w:cs="Arial"/>
          <w:sz w:val="24"/>
          <w:szCs w:val="24"/>
        </w:rPr>
        <w:t xml:space="preserve">In order to </w:t>
      </w:r>
      <w:proofErr w:type="gramStart"/>
      <w:r w:rsidR="00197F67">
        <w:rPr>
          <w:rFonts w:ascii="Arial" w:hAnsi="Arial" w:cs="Arial"/>
          <w:sz w:val="24"/>
          <w:szCs w:val="24"/>
        </w:rPr>
        <w:t>come to a conclusion</w:t>
      </w:r>
      <w:proofErr w:type="gramEnd"/>
      <w:r w:rsidR="00197F67">
        <w:rPr>
          <w:rFonts w:ascii="Arial" w:hAnsi="Arial" w:cs="Arial"/>
          <w:sz w:val="24"/>
          <w:szCs w:val="24"/>
        </w:rPr>
        <w:t xml:space="preserve">, </w:t>
      </w:r>
      <w:r>
        <w:rPr>
          <w:rFonts w:ascii="Arial" w:hAnsi="Arial" w:cs="Arial"/>
          <w:sz w:val="24"/>
          <w:szCs w:val="24"/>
        </w:rPr>
        <w:t>discussion will be based around the findings of Cesare Lombroso and William Sheldon, two criminological theorists whose findings suggest that individuals are able to be born criminal.</w:t>
      </w:r>
      <w:r w:rsidR="00607B54">
        <w:rPr>
          <w:rFonts w:ascii="Arial" w:hAnsi="Arial" w:cs="Arial"/>
          <w:sz w:val="24"/>
          <w:szCs w:val="24"/>
        </w:rPr>
        <w:t xml:space="preserve"> Further discussion will also be based on findings of others who have applied </w:t>
      </w:r>
      <w:r w:rsidR="0025763E">
        <w:rPr>
          <w:rFonts w:ascii="Arial" w:hAnsi="Arial" w:cs="Arial"/>
          <w:sz w:val="24"/>
          <w:szCs w:val="24"/>
        </w:rPr>
        <w:t xml:space="preserve">the theory that criminals can be born by using real world examples of criminals who exhibit born criminal characteristics. Limitations to the theory shall </w:t>
      </w:r>
      <w:r w:rsidR="00197F67">
        <w:rPr>
          <w:rFonts w:ascii="Arial" w:hAnsi="Arial" w:cs="Arial"/>
          <w:sz w:val="24"/>
          <w:szCs w:val="24"/>
        </w:rPr>
        <w:t xml:space="preserve">also </w:t>
      </w:r>
      <w:r w:rsidR="0025763E">
        <w:rPr>
          <w:rFonts w:ascii="Arial" w:hAnsi="Arial" w:cs="Arial"/>
          <w:sz w:val="24"/>
          <w:szCs w:val="24"/>
        </w:rPr>
        <w:t xml:space="preserve">be </w:t>
      </w:r>
      <w:r w:rsidR="00197F67">
        <w:rPr>
          <w:rFonts w:ascii="Arial" w:hAnsi="Arial" w:cs="Arial"/>
          <w:sz w:val="24"/>
          <w:szCs w:val="24"/>
        </w:rPr>
        <w:t>reviewed</w:t>
      </w:r>
      <w:r w:rsidR="0025763E">
        <w:rPr>
          <w:rFonts w:ascii="Arial" w:hAnsi="Arial" w:cs="Arial"/>
          <w:sz w:val="24"/>
          <w:szCs w:val="24"/>
        </w:rPr>
        <w:t xml:space="preserve"> in order to conclude if criminality is a genetic trait.</w:t>
      </w:r>
    </w:p>
    <w:p w14:paraId="18B46D02" w14:textId="397014B5" w:rsidR="001E271C" w:rsidRPr="00FA59B8" w:rsidRDefault="00FA3B01" w:rsidP="009837A5">
      <w:pPr>
        <w:spacing w:line="360" w:lineRule="auto"/>
        <w:jc w:val="both"/>
        <w:rPr>
          <w:rFonts w:ascii="Arial" w:hAnsi="Arial" w:cs="Arial"/>
          <w:sz w:val="24"/>
          <w:szCs w:val="24"/>
        </w:rPr>
      </w:pPr>
      <w:r w:rsidRPr="00FA59B8">
        <w:rPr>
          <w:rFonts w:ascii="Arial" w:hAnsi="Arial" w:cs="Arial"/>
          <w:sz w:val="24"/>
          <w:szCs w:val="24"/>
        </w:rPr>
        <w:t>The rationale that decides that criminals are born rather than made is a criminological theory known as biological positivism</w:t>
      </w:r>
      <w:r w:rsidR="00CF5E2E" w:rsidRPr="00FA59B8">
        <w:rPr>
          <w:rFonts w:ascii="Arial" w:hAnsi="Arial" w:cs="Arial"/>
          <w:sz w:val="24"/>
          <w:szCs w:val="24"/>
        </w:rPr>
        <w:t>. This theory discusses that criminal</w:t>
      </w:r>
      <w:r w:rsidR="00E04EA4" w:rsidRPr="00FA59B8">
        <w:rPr>
          <w:rFonts w:ascii="Arial" w:hAnsi="Arial" w:cs="Arial"/>
          <w:sz w:val="24"/>
          <w:szCs w:val="24"/>
        </w:rPr>
        <w:t xml:space="preserve"> DNA is present in an individual and</w:t>
      </w:r>
      <w:r w:rsidR="00CF5E2E" w:rsidRPr="00FA59B8">
        <w:rPr>
          <w:rFonts w:ascii="Arial" w:hAnsi="Arial" w:cs="Arial"/>
          <w:sz w:val="24"/>
          <w:szCs w:val="24"/>
        </w:rPr>
        <w:t xml:space="preserve"> </w:t>
      </w:r>
      <w:r w:rsidR="00934759" w:rsidRPr="00FA59B8">
        <w:rPr>
          <w:rFonts w:ascii="Arial" w:hAnsi="Arial" w:cs="Arial"/>
          <w:sz w:val="24"/>
          <w:szCs w:val="24"/>
        </w:rPr>
        <w:t>are psychologically distinct from other ordinary members of society (</w:t>
      </w:r>
      <w:r w:rsidR="00DD3094" w:rsidRPr="00FA59B8">
        <w:rPr>
          <w:rFonts w:ascii="Arial" w:hAnsi="Arial" w:cs="Arial"/>
          <w:sz w:val="24"/>
          <w:szCs w:val="24"/>
        </w:rPr>
        <w:t>The Scottish Centre for Crime and Justice Research</w:t>
      </w:r>
      <w:r w:rsidR="00934759" w:rsidRPr="00FA59B8">
        <w:rPr>
          <w:rFonts w:ascii="Arial" w:hAnsi="Arial" w:cs="Arial"/>
          <w:sz w:val="24"/>
          <w:szCs w:val="24"/>
        </w:rPr>
        <w:t>, 2022)</w:t>
      </w:r>
      <w:r w:rsidR="00DD3094" w:rsidRPr="00FA59B8">
        <w:rPr>
          <w:rFonts w:ascii="Arial" w:hAnsi="Arial" w:cs="Arial"/>
          <w:sz w:val="24"/>
          <w:szCs w:val="24"/>
        </w:rPr>
        <w:t xml:space="preserve">. </w:t>
      </w:r>
      <w:r w:rsidR="0063189B" w:rsidRPr="00FA59B8">
        <w:rPr>
          <w:rFonts w:ascii="Arial" w:hAnsi="Arial" w:cs="Arial"/>
          <w:sz w:val="24"/>
          <w:szCs w:val="24"/>
        </w:rPr>
        <w:t>One of the criminological theorists whose work was based around biological positivism was Cesare Lombroso. Lombroso is “often considered the father (or one of the fathers) of criminology and criminal anthropology” (Mazzarello, 2011, p.100)</w:t>
      </w:r>
      <w:r w:rsidR="001D52A4" w:rsidRPr="00FA59B8">
        <w:rPr>
          <w:rFonts w:ascii="Arial" w:hAnsi="Arial" w:cs="Arial"/>
          <w:sz w:val="24"/>
          <w:szCs w:val="24"/>
        </w:rPr>
        <w:t>,</w:t>
      </w:r>
      <w:r w:rsidR="00DA6E60" w:rsidRPr="00FA59B8">
        <w:rPr>
          <w:rFonts w:ascii="Arial" w:hAnsi="Arial" w:cs="Arial"/>
          <w:sz w:val="24"/>
          <w:szCs w:val="24"/>
        </w:rPr>
        <w:t xml:space="preserve"> and is one of the first theorists to study criminological theory. </w:t>
      </w:r>
      <w:r w:rsidR="00560E72" w:rsidRPr="00FA59B8">
        <w:rPr>
          <w:rFonts w:ascii="Arial" w:hAnsi="Arial" w:cs="Arial"/>
          <w:sz w:val="24"/>
          <w:szCs w:val="24"/>
        </w:rPr>
        <w:t>Lombroso’s theory was that criminals were biological freaks who were at a more primitive stage of evolution than non-criminals (Kutner, 1953)</w:t>
      </w:r>
      <w:r w:rsidR="00171114" w:rsidRPr="00FA59B8">
        <w:rPr>
          <w:rFonts w:ascii="Arial" w:hAnsi="Arial" w:cs="Arial"/>
          <w:sz w:val="24"/>
          <w:szCs w:val="24"/>
        </w:rPr>
        <w:t xml:space="preserve">, and could be identified as such by certain facial defects </w:t>
      </w:r>
      <w:r w:rsidR="00B1661B" w:rsidRPr="00FA59B8">
        <w:rPr>
          <w:rFonts w:ascii="Arial" w:hAnsi="Arial" w:cs="Arial"/>
          <w:sz w:val="24"/>
          <w:szCs w:val="24"/>
        </w:rPr>
        <w:t xml:space="preserve">including the shape and size of one’s head, jaw, </w:t>
      </w:r>
      <w:r w:rsidR="00AC4446" w:rsidRPr="00FA59B8">
        <w:rPr>
          <w:rFonts w:ascii="Arial" w:hAnsi="Arial" w:cs="Arial"/>
          <w:sz w:val="24"/>
          <w:szCs w:val="24"/>
        </w:rPr>
        <w:t>cheekbones,</w:t>
      </w:r>
      <w:r w:rsidR="00B1661B" w:rsidRPr="00FA59B8">
        <w:rPr>
          <w:rFonts w:ascii="Arial" w:hAnsi="Arial" w:cs="Arial"/>
          <w:sz w:val="24"/>
          <w:szCs w:val="24"/>
        </w:rPr>
        <w:t xml:space="preserve"> or forehead (Crawshaw, 2020)</w:t>
      </w:r>
      <w:r w:rsidR="00AC4446" w:rsidRPr="00FA59B8">
        <w:rPr>
          <w:rFonts w:ascii="Arial" w:hAnsi="Arial" w:cs="Arial"/>
          <w:sz w:val="24"/>
          <w:szCs w:val="24"/>
        </w:rPr>
        <w:t xml:space="preserve">. Examples of this include the big hawk-like nose of a murderer, or the protruding ears of a sex offender (Brookes, 2021). Lombroso came to these findings by comparing the physical features of Italian prisoners with Italian soldiers, </w:t>
      </w:r>
      <w:r w:rsidR="00841CF9" w:rsidRPr="00FA59B8">
        <w:rPr>
          <w:rFonts w:ascii="Arial" w:hAnsi="Arial" w:cs="Arial"/>
          <w:sz w:val="24"/>
          <w:szCs w:val="24"/>
        </w:rPr>
        <w:t>which resulted in him concluding that there were a greater number of prisoners with said facial defects than there were soldiers (</w:t>
      </w:r>
      <w:bookmarkStart w:id="0" w:name="_Hlk96179874"/>
      <w:r w:rsidR="00841CF9" w:rsidRPr="00FA59B8">
        <w:rPr>
          <w:rFonts w:ascii="Arial" w:hAnsi="Arial" w:cs="Arial"/>
          <w:sz w:val="24"/>
          <w:szCs w:val="24"/>
        </w:rPr>
        <w:t xml:space="preserve">Wolfgang, </w:t>
      </w:r>
      <w:bookmarkEnd w:id="0"/>
      <w:r w:rsidR="00841CF9" w:rsidRPr="00FA59B8">
        <w:rPr>
          <w:rFonts w:ascii="Arial" w:hAnsi="Arial" w:cs="Arial"/>
          <w:sz w:val="24"/>
          <w:szCs w:val="24"/>
        </w:rPr>
        <w:t>1961)</w:t>
      </w:r>
      <w:r w:rsidR="000209D1" w:rsidRPr="00FA59B8">
        <w:rPr>
          <w:rFonts w:ascii="Arial" w:hAnsi="Arial" w:cs="Arial"/>
          <w:sz w:val="24"/>
          <w:szCs w:val="24"/>
        </w:rPr>
        <w:t>.</w:t>
      </w:r>
    </w:p>
    <w:p w14:paraId="754AA58E" w14:textId="040F0A98" w:rsidR="00AB26B4" w:rsidRDefault="0076127F" w:rsidP="009837A5">
      <w:pPr>
        <w:spacing w:line="360" w:lineRule="auto"/>
        <w:jc w:val="both"/>
        <w:rPr>
          <w:rFonts w:ascii="Arial" w:hAnsi="Arial" w:cs="Arial"/>
          <w:sz w:val="24"/>
          <w:szCs w:val="24"/>
        </w:rPr>
      </w:pPr>
      <w:r w:rsidRPr="00FA59B8">
        <w:rPr>
          <w:rFonts w:ascii="Arial" w:hAnsi="Arial" w:cs="Arial"/>
          <w:sz w:val="24"/>
          <w:szCs w:val="24"/>
        </w:rPr>
        <w:t>William Sheldon, another criminological theorist followed a similar pattern in that criminals could be identified by certain body characteristics, thus concluding that they are born criminal. Sheldon identified 3 body types, which are Endomorphs, Mesomorphs and Ectomorphs</w:t>
      </w:r>
      <w:r w:rsidR="00CD3C8B" w:rsidRPr="00FA59B8">
        <w:rPr>
          <w:rFonts w:ascii="Arial" w:hAnsi="Arial" w:cs="Arial"/>
          <w:sz w:val="24"/>
          <w:szCs w:val="24"/>
        </w:rPr>
        <w:t xml:space="preserve"> (Nickerson, 2022)</w:t>
      </w:r>
      <w:r w:rsidR="00EE6BEB" w:rsidRPr="00FA59B8">
        <w:rPr>
          <w:rFonts w:ascii="Arial" w:hAnsi="Arial" w:cs="Arial"/>
          <w:sz w:val="24"/>
          <w:szCs w:val="24"/>
        </w:rPr>
        <w:t>, and later use these</w:t>
      </w:r>
      <w:r w:rsidR="00FA59B8">
        <w:rPr>
          <w:rFonts w:ascii="Arial" w:hAnsi="Arial" w:cs="Arial"/>
          <w:sz w:val="24"/>
          <w:szCs w:val="24"/>
        </w:rPr>
        <w:t xml:space="preserve"> </w:t>
      </w:r>
      <w:r w:rsidR="00EE6BEB" w:rsidRPr="00FA59B8">
        <w:rPr>
          <w:rFonts w:ascii="Arial" w:hAnsi="Arial" w:cs="Arial"/>
          <w:sz w:val="24"/>
          <w:szCs w:val="24"/>
        </w:rPr>
        <w:t xml:space="preserve">to identify and explain delinquent behaviour more present in the mesomorph </w:t>
      </w:r>
      <w:r w:rsidR="00FA59B8">
        <w:rPr>
          <w:rFonts w:ascii="Arial" w:hAnsi="Arial" w:cs="Arial"/>
          <w:sz w:val="24"/>
          <w:szCs w:val="24"/>
        </w:rPr>
        <w:t>body</w:t>
      </w:r>
      <w:r w:rsidR="00EE6BEB" w:rsidRPr="00FA59B8">
        <w:rPr>
          <w:rFonts w:ascii="Arial" w:hAnsi="Arial" w:cs="Arial"/>
          <w:sz w:val="24"/>
          <w:szCs w:val="24"/>
        </w:rPr>
        <w:t xml:space="preserve"> (Bernard, 2021)</w:t>
      </w:r>
      <w:r w:rsidR="00FA59B8">
        <w:rPr>
          <w:rFonts w:ascii="Arial" w:hAnsi="Arial" w:cs="Arial"/>
          <w:sz w:val="24"/>
          <w:szCs w:val="24"/>
        </w:rPr>
        <w:t xml:space="preserve">. </w:t>
      </w:r>
      <w:r w:rsidR="007A752B">
        <w:rPr>
          <w:rFonts w:ascii="Arial" w:hAnsi="Arial" w:cs="Arial"/>
          <w:sz w:val="24"/>
          <w:szCs w:val="24"/>
        </w:rPr>
        <w:t>It has been said that “</w:t>
      </w:r>
      <w:r w:rsidR="007A752B" w:rsidRPr="007A752B">
        <w:rPr>
          <w:rFonts w:ascii="Arial" w:hAnsi="Arial" w:cs="Arial"/>
          <w:sz w:val="24"/>
          <w:szCs w:val="24"/>
        </w:rPr>
        <w:t>a mesomorphic build reflects high testosterone levels, which may result in higher levels of aggressiveness</w:t>
      </w:r>
      <w:r w:rsidR="007A752B">
        <w:rPr>
          <w:rFonts w:ascii="Arial" w:hAnsi="Arial" w:cs="Arial"/>
          <w:sz w:val="24"/>
          <w:szCs w:val="24"/>
        </w:rPr>
        <w:t>” (Sammons,</w:t>
      </w:r>
      <w:r w:rsidR="007720CC">
        <w:rPr>
          <w:rFonts w:ascii="Arial" w:hAnsi="Arial" w:cs="Arial"/>
          <w:sz w:val="24"/>
          <w:szCs w:val="24"/>
        </w:rPr>
        <w:t xml:space="preserve"> 2022, p.2)</w:t>
      </w:r>
      <w:r w:rsidR="00025CE0">
        <w:rPr>
          <w:rFonts w:ascii="Arial" w:hAnsi="Arial" w:cs="Arial"/>
          <w:sz w:val="24"/>
          <w:szCs w:val="24"/>
        </w:rPr>
        <w:t xml:space="preserve">, in turn these </w:t>
      </w:r>
      <w:r w:rsidR="00025CE0">
        <w:rPr>
          <w:rFonts w:ascii="Arial" w:hAnsi="Arial" w:cs="Arial"/>
          <w:sz w:val="24"/>
          <w:szCs w:val="24"/>
        </w:rPr>
        <w:lastRenderedPageBreak/>
        <w:t xml:space="preserve">aggressive tendencies are what drives a mesomorphic build to commit more crime than anyone else (Bernard, 2021). </w:t>
      </w:r>
    </w:p>
    <w:p w14:paraId="50160C5D" w14:textId="252AFEB9" w:rsidR="004B58A0" w:rsidRDefault="00CA00B3" w:rsidP="009837A5">
      <w:pPr>
        <w:spacing w:line="360" w:lineRule="auto"/>
        <w:jc w:val="both"/>
        <w:rPr>
          <w:rFonts w:ascii="Arial" w:hAnsi="Arial" w:cs="Arial"/>
          <w:sz w:val="24"/>
          <w:szCs w:val="24"/>
        </w:rPr>
      </w:pPr>
      <w:r>
        <w:rPr>
          <w:rFonts w:ascii="Arial" w:hAnsi="Arial" w:cs="Arial"/>
          <w:sz w:val="24"/>
          <w:szCs w:val="24"/>
        </w:rPr>
        <w:t xml:space="preserve">While a seemingly </w:t>
      </w:r>
      <w:r w:rsidR="005803B1">
        <w:rPr>
          <w:rFonts w:ascii="Arial" w:hAnsi="Arial" w:cs="Arial"/>
          <w:sz w:val="24"/>
          <w:szCs w:val="24"/>
        </w:rPr>
        <w:t>far-fetched</w:t>
      </w:r>
      <w:r>
        <w:rPr>
          <w:rFonts w:ascii="Arial" w:hAnsi="Arial" w:cs="Arial"/>
          <w:sz w:val="24"/>
          <w:szCs w:val="24"/>
        </w:rPr>
        <w:t xml:space="preserve"> theory that humans are able to be born criminal, there are real world applications to show it to be partially true. Rafter (1997)</w:t>
      </w:r>
      <w:r w:rsidR="005803B1">
        <w:rPr>
          <w:rFonts w:ascii="Arial" w:hAnsi="Arial" w:cs="Arial"/>
          <w:sz w:val="24"/>
          <w:szCs w:val="24"/>
        </w:rPr>
        <w:t xml:space="preserve"> discusses in detail about a</w:t>
      </w:r>
      <w:r w:rsidR="001276E5">
        <w:rPr>
          <w:rFonts w:ascii="Arial" w:hAnsi="Arial" w:cs="Arial"/>
          <w:sz w:val="24"/>
          <w:szCs w:val="24"/>
        </w:rPr>
        <w:t xml:space="preserve"> prisoner in New York going by the alias of ‘Fenix Whipple’. Fenix was diagnosed as being a defective delinquent and was thus transferred to the Napanoch Institution for Defective Delinquents, a United States eugenics prison designed to “hold offenders until they recovered from the disease of criminality” (Rafter, 1997, p.2)</w:t>
      </w:r>
      <w:r w:rsidR="003C4991">
        <w:rPr>
          <w:rFonts w:ascii="Arial" w:hAnsi="Arial" w:cs="Arial"/>
          <w:sz w:val="24"/>
          <w:szCs w:val="24"/>
        </w:rPr>
        <w:t xml:space="preserve">. The fact such prison exists is a clear sign that for a long time the United States saw criminality as a disease that could be cured, however its attempts to cure Fenix of criminality failed. Their criminal behaviour started at 16, and they were arrested at least five times over a </w:t>
      </w:r>
      <w:r w:rsidR="002527BD">
        <w:rPr>
          <w:rFonts w:ascii="Arial" w:hAnsi="Arial" w:cs="Arial"/>
          <w:sz w:val="24"/>
          <w:szCs w:val="24"/>
        </w:rPr>
        <w:t>three-year</w:t>
      </w:r>
      <w:r w:rsidR="003C4991">
        <w:rPr>
          <w:rFonts w:ascii="Arial" w:hAnsi="Arial" w:cs="Arial"/>
          <w:sz w:val="24"/>
          <w:szCs w:val="24"/>
        </w:rPr>
        <w:t xml:space="preserve"> period following this first conviction, thus paving the path for them to be classed as a delinquent</w:t>
      </w:r>
      <w:r w:rsidR="00560FC3">
        <w:rPr>
          <w:rFonts w:ascii="Arial" w:hAnsi="Arial" w:cs="Arial"/>
          <w:sz w:val="24"/>
          <w:szCs w:val="24"/>
        </w:rPr>
        <w:t xml:space="preserve"> (Rafter, 1997).</w:t>
      </w:r>
    </w:p>
    <w:p w14:paraId="432EA44E" w14:textId="47E4AEBA" w:rsidR="002527BD" w:rsidRDefault="00926EA4" w:rsidP="009837A5">
      <w:pPr>
        <w:spacing w:line="360" w:lineRule="auto"/>
        <w:jc w:val="both"/>
        <w:rPr>
          <w:rFonts w:ascii="Arial" w:hAnsi="Arial" w:cs="Arial"/>
          <w:sz w:val="24"/>
          <w:szCs w:val="24"/>
        </w:rPr>
      </w:pPr>
      <w:r>
        <w:rPr>
          <w:rFonts w:ascii="Arial" w:hAnsi="Arial" w:cs="Arial"/>
          <w:sz w:val="24"/>
          <w:szCs w:val="24"/>
        </w:rPr>
        <w:t xml:space="preserve">Walker (2010) discusses Sheldon’s theory of the link between criminality and the mesomorphic body type. </w:t>
      </w:r>
      <w:r w:rsidR="0071048B">
        <w:rPr>
          <w:rFonts w:ascii="Arial" w:hAnsi="Arial" w:cs="Arial"/>
          <w:sz w:val="24"/>
          <w:szCs w:val="24"/>
        </w:rPr>
        <w:t xml:space="preserve">It is </w:t>
      </w:r>
      <w:r>
        <w:rPr>
          <w:rFonts w:ascii="Arial" w:hAnsi="Arial" w:cs="Arial"/>
          <w:sz w:val="24"/>
          <w:szCs w:val="24"/>
        </w:rPr>
        <w:t>arg</w:t>
      </w:r>
      <w:r w:rsidR="0071048B">
        <w:rPr>
          <w:rFonts w:ascii="Arial" w:hAnsi="Arial" w:cs="Arial"/>
          <w:sz w:val="24"/>
          <w:szCs w:val="24"/>
        </w:rPr>
        <w:t>ued</w:t>
      </w:r>
      <w:r>
        <w:rPr>
          <w:rFonts w:ascii="Arial" w:hAnsi="Arial" w:cs="Arial"/>
          <w:sz w:val="24"/>
          <w:szCs w:val="24"/>
        </w:rPr>
        <w:t xml:space="preserve"> that labelling theory is what drives the mesomorph to commit crime, as it is what “juvenile delinquents do” (Walker, 2010, p.47)</w:t>
      </w:r>
      <w:r w:rsidR="0071048B">
        <w:rPr>
          <w:rFonts w:ascii="Arial" w:hAnsi="Arial" w:cs="Arial"/>
          <w:sz w:val="24"/>
          <w:szCs w:val="24"/>
        </w:rPr>
        <w:t xml:space="preserve">. </w:t>
      </w:r>
      <w:r w:rsidR="009A10FD">
        <w:rPr>
          <w:rFonts w:ascii="Arial" w:hAnsi="Arial" w:cs="Arial"/>
          <w:sz w:val="24"/>
          <w:szCs w:val="24"/>
        </w:rPr>
        <w:t>If the majority of crime is committed by those who come under the mesomorphic body type, then those who are mesomorphs will apply labelling theory to themselves</w:t>
      </w:r>
      <w:r w:rsidR="0095024F">
        <w:rPr>
          <w:rFonts w:ascii="Arial" w:hAnsi="Arial" w:cs="Arial"/>
          <w:sz w:val="24"/>
          <w:szCs w:val="24"/>
        </w:rPr>
        <w:t>. This could be</w:t>
      </w:r>
      <w:r w:rsidR="009A10FD">
        <w:rPr>
          <w:rFonts w:ascii="Arial" w:hAnsi="Arial" w:cs="Arial"/>
          <w:sz w:val="24"/>
          <w:szCs w:val="24"/>
        </w:rPr>
        <w:t xml:space="preserve"> to share a common interest with others who are of a similar nature to themselves or simply because they believe it is what they were destined to do. </w:t>
      </w:r>
      <w:r w:rsidR="00B669DF">
        <w:rPr>
          <w:rFonts w:ascii="Arial" w:hAnsi="Arial" w:cs="Arial"/>
          <w:sz w:val="24"/>
          <w:szCs w:val="24"/>
        </w:rPr>
        <w:t xml:space="preserve">Further evidence uncovered by </w:t>
      </w:r>
      <w:proofErr w:type="spellStart"/>
      <w:r w:rsidR="00B669DF">
        <w:rPr>
          <w:rFonts w:ascii="Arial" w:hAnsi="Arial" w:cs="Arial"/>
          <w:sz w:val="24"/>
          <w:szCs w:val="24"/>
        </w:rPr>
        <w:t>Glueek</w:t>
      </w:r>
      <w:proofErr w:type="spellEnd"/>
      <w:r w:rsidR="00B669DF">
        <w:rPr>
          <w:rFonts w:ascii="Arial" w:hAnsi="Arial" w:cs="Arial"/>
          <w:sz w:val="24"/>
          <w:szCs w:val="24"/>
        </w:rPr>
        <w:t xml:space="preserve"> (1958) shows a clear correlation between the mesomorphic body type and delinquency. It was found that mesomorphs were more likely to have both destructive traits and be </w:t>
      </w:r>
      <w:r w:rsidR="00343D02">
        <w:rPr>
          <w:rFonts w:ascii="Arial" w:hAnsi="Arial" w:cs="Arial"/>
          <w:sz w:val="24"/>
          <w:szCs w:val="24"/>
        </w:rPr>
        <w:t>more emotionally unstable than ectomorphs and endomorphs (</w:t>
      </w:r>
      <w:proofErr w:type="spellStart"/>
      <w:r w:rsidR="00343D02">
        <w:rPr>
          <w:rFonts w:ascii="Arial" w:hAnsi="Arial" w:cs="Arial"/>
          <w:sz w:val="24"/>
          <w:szCs w:val="24"/>
        </w:rPr>
        <w:t>Glueek</w:t>
      </w:r>
      <w:proofErr w:type="spellEnd"/>
      <w:r w:rsidR="00343D02">
        <w:rPr>
          <w:rFonts w:ascii="Arial" w:hAnsi="Arial" w:cs="Arial"/>
          <w:sz w:val="24"/>
          <w:szCs w:val="24"/>
        </w:rPr>
        <w:t xml:space="preserve">, 1958). </w:t>
      </w:r>
      <w:r w:rsidR="0068475D">
        <w:rPr>
          <w:rFonts w:ascii="Arial" w:hAnsi="Arial" w:cs="Arial"/>
          <w:sz w:val="24"/>
          <w:szCs w:val="24"/>
        </w:rPr>
        <w:t>Evidence suggests that those with destructive traits are more likely to engage in cr</w:t>
      </w:r>
      <w:r w:rsidR="0051749F">
        <w:rPr>
          <w:rFonts w:ascii="Arial" w:hAnsi="Arial" w:cs="Arial"/>
          <w:sz w:val="24"/>
          <w:szCs w:val="24"/>
        </w:rPr>
        <w:t>imina</w:t>
      </w:r>
      <w:r w:rsidR="0068475D">
        <w:rPr>
          <w:rFonts w:ascii="Arial" w:hAnsi="Arial" w:cs="Arial"/>
          <w:sz w:val="24"/>
          <w:szCs w:val="24"/>
        </w:rPr>
        <w:t>l activity and violence, (Siegal, 2008)</w:t>
      </w:r>
      <w:r w:rsidR="0051749F">
        <w:rPr>
          <w:rFonts w:ascii="Arial" w:hAnsi="Arial" w:cs="Arial"/>
          <w:sz w:val="24"/>
          <w:szCs w:val="24"/>
        </w:rPr>
        <w:t>, and that there is a strong link between psychiatric illness caused by mental instability and criminality (</w:t>
      </w:r>
      <w:proofErr w:type="spellStart"/>
      <w:r w:rsidR="0051749F">
        <w:rPr>
          <w:rFonts w:ascii="Arial" w:hAnsi="Arial" w:cs="Arial"/>
          <w:sz w:val="24"/>
          <w:szCs w:val="24"/>
        </w:rPr>
        <w:t>Ghiasi</w:t>
      </w:r>
      <w:proofErr w:type="spellEnd"/>
      <w:r w:rsidR="0051749F">
        <w:rPr>
          <w:rFonts w:ascii="Arial" w:hAnsi="Arial" w:cs="Arial"/>
          <w:sz w:val="24"/>
          <w:szCs w:val="24"/>
        </w:rPr>
        <w:t xml:space="preserve"> et al., 2022)</w:t>
      </w:r>
      <w:r w:rsidR="007274EF">
        <w:rPr>
          <w:rFonts w:ascii="Arial" w:hAnsi="Arial" w:cs="Arial"/>
          <w:sz w:val="24"/>
          <w:szCs w:val="24"/>
        </w:rPr>
        <w:t>.</w:t>
      </w:r>
    </w:p>
    <w:p w14:paraId="30688DB4" w14:textId="5F68B8B7" w:rsidR="007274EF" w:rsidRDefault="00BC2487" w:rsidP="009837A5">
      <w:pPr>
        <w:spacing w:line="360" w:lineRule="auto"/>
        <w:jc w:val="both"/>
        <w:rPr>
          <w:rFonts w:ascii="Arial" w:hAnsi="Arial" w:cs="Arial"/>
          <w:sz w:val="24"/>
          <w:szCs w:val="24"/>
        </w:rPr>
      </w:pPr>
      <w:r>
        <w:rPr>
          <w:rFonts w:ascii="Arial" w:hAnsi="Arial" w:cs="Arial"/>
          <w:sz w:val="24"/>
          <w:szCs w:val="24"/>
        </w:rPr>
        <w:t xml:space="preserve">Whilst evidence suggests that there is a link between </w:t>
      </w:r>
      <w:r w:rsidR="005A7365">
        <w:rPr>
          <w:rFonts w:ascii="Arial" w:hAnsi="Arial" w:cs="Arial"/>
          <w:sz w:val="24"/>
          <w:szCs w:val="24"/>
        </w:rPr>
        <w:t>body characteristics</w:t>
      </w:r>
      <w:r>
        <w:rPr>
          <w:rFonts w:ascii="Arial" w:hAnsi="Arial" w:cs="Arial"/>
          <w:sz w:val="24"/>
          <w:szCs w:val="24"/>
        </w:rPr>
        <w:t xml:space="preserve"> and criminal behaviour, the link has been criticised in a number of ways. </w:t>
      </w:r>
      <w:r w:rsidR="005A7365">
        <w:rPr>
          <w:rFonts w:ascii="Arial" w:hAnsi="Arial" w:cs="Arial"/>
          <w:sz w:val="24"/>
          <w:szCs w:val="24"/>
        </w:rPr>
        <w:t xml:space="preserve">Brookes (2021) identifies </w:t>
      </w:r>
      <w:r w:rsidR="00F66F42">
        <w:rPr>
          <w:rFonts w:ascii="Arial" w:hAnsi="Arial" w:cs="Arial"/>
          <w:sz w:val="24"/>
          <w:szCs w:val="24"/>
        </w:rPr>
        <w:t>several</w:t>
      </w:r>
      <w:r w:rsidR="005A7365">
        <w:rPr>
          <w:rFonts w:ascii="Arial" w:hAnsi="Arial" w:cs="Arial"/>
          <w:sz w:val="24"/>
          <w:szCs w:val="24"/>
        </w:rPr>
        <w:t xml:space="preserve"> criticisms with Lombroso’s findings such as his failure to use a control group to compare his participants, he only compared Italian prisoners with Italian soldiers. It was also </w:t>
      </w:r>
      <w:r w:rsidR="000C4824">
        <w:rPr>
          <w:rFonts w:ascii="Arial" w:hAnsi="Arial" w:cs="Arial"/>
          <w:sz w:val="24"/>
          <w:szCs w:val="24"/>
        </w:rPr>
        <w:t xml:space="preserve">found that Lombroso’s findings were a socially sensitive subject, as a </w:t>
      </w:r>
      <w:r w:rsidR="00F66F42">
        <w:rPr>
          <w:rFonts w:ascii="Arial" w:hAnsi="Arial" w:cs="Arial"/>
          <w:sz w:val="24"/>
          <w:szCs w:val="24"/>
        </w:rPr>
        <w:t xml:space="preserve">few of </w:t>
      </w:r>
      <w:r w:rsidR="009C0B35">
        <w:rPr>
          <w:rFonts w:ascii="Arial" w:hAnsi="Arial" w:cs="Arial"/>
          <w:sz w:val="24"/>
          <w:szCs w:val="24"/>
        </w:rPr>
        <w:lastRenderedPageBreak/>
        <w:t>the</w:t>
      </w:r>
      <w:r w:rsidR="000C4824">
        <w:rPr>
          <w:rFonts w:ascii="Arial" w:hAnsi="Arial" w:cs="Arial"/>
          <w:sz w:val="24"/>
          <w:szCs w:val="24"/>
        </w:rPr>
        <w:t xml:space="preserve"> facial characteristics in his research are linked to skin colour, leading to accusations of scientific racism. </w:t>
      </w:r>
      <w:r w:rsidR="00F66F42">
        <w:rPr>
          <w:rFonts w:ascii="Arial" w:hAnsi="Arial" w:cs="Arial"/>
          <w:sz w:val="24"/>
          <w:szCs w:val="24"/>
        </w:rPr>
        <w:t>Farrington (1979)</w:t>
      </w:r>
      <w:r w:rsidR="007C112F">
        <w:rPr>
          <w:rFonts w:ascii="Arial" w:hAnsi="Arial" w:cs="Arial"/>
          <w:sz w:val="24"/>
          <w:szCs w:val="24"/>
        </w:rPr>
        <w:t xml:space="preserve"> identifies that Sheldon himself found criticisms in his own findings, stating that despite the relationship between body type and behaviour, society also plays a key role in determining the link between those who look like criminals and those who are criminals. Stereotyping is also a key criticism to both Lombroso and Sheldon’s work, </w:t>
      </w:r>
      <w:r w:rsidR="00C26A26">
        <w:rPr>
          <w:rFonts w:ascii="Arial" w:hAnsi="Arial" w:cs="Arial"/>
          <w:sz w:val="24"/>
          <w:szCs w:val="24"/>
        </w:rPr>
        <w:t>because society believe those who look criminal will partake in criminal behaviour, then said individuals will do just that (Rafter, 2007). It has been said that “t</w:t>
      </w:r>
      <w:r w:rsidR="00C26A26" w:rsidRPr="00C26A26">
        <w:rPr>
          <w:rFonts w:ascii="Arial" w:hAnsi="Arial" w:cs="Arial"/>
          <w:sz w:val="24"/>
          <w:szCs w:val="24"/>
        </w:rPr>
        <w:t>ough</w:t>
      </w:r>
      <w:r w:rsidR="00C26A26">
        <w:rPr>
          <w:rFonts w:ascii="Arial" w:hAnsi="Arial" w:cs="Arial"/>
          <w:sz w:val="24"/>
          <w:szCs w:val="24"/>
        </w:rPr>
        <w:t xml:space="preserve"> </w:t>
      </w:r>
      <w:r w:rsidR="00C26A26" w:rsidRPr="00C26A26">
        <w:rPr>
          <w:rFonts w:ascii="Arial" w:hAnsi="Arial" w:cs="Arial"/>
          <w:sz w:val="24"/>
          <w:szCs w:val="24"/>
        </w:rPr>
        <w:t>boys may act toug</w:t>
      </w:r>
      <w:r w:rsidR="00C26A26">
        <w:rPr>
          <w:rFonts w:ascii="Arial" w:hAnsi="Arial" w:cs="Arial"/>
          <w:sz w:val="24"/>
          <w:szCs w:val="24"/>
        </w:rPr>
        <w:t>h</w:t>
      </w:r>
      <w:r w:rsidR="00C26A26" w:rsidRPr="00C26A26">
        <w:rPr>
          <w:rFonts w:ascii="Arial" w:hAnsi="Arial" w:cs="Arial"/>
          <w:sz w:val="24"/>
          <w:szCs w:val="24"/>
        </w:rPr>
        <w:t xml:space="preserve"> as a result of stereotypin</w:t>
      </w:r>
      <w:r w:rsidR="00C26A26">
        <w:rPr>
          <w:rFonts w:ascii="Arial" w:hAnsi="Arial" w:cs="Arial"/>
          <w:sz w:val="24"/>
          <w:szCs w:val="24"/>
        </w:rPr>
        <w:t>g”, (Rafter, 2007, p. 816), meaning those who get stereotyped against may feel like they do not have a choice but to conform to what society wants them to do.</w:t>
      </w:r>
    </w:p>
    <w:p w14:paraId="43FA45C4" w14:textId="3AB109CD" w:rsidR="00C26A26" w:rsidRDefault="00B01112" w:rsidP="009837A5">
      <w:pPr>
        <w:spacing w:line="360" w:lineRule="auto"/>
        <w:jc w:val="both"/>
        <w:rPr>
          <w:rFonts w:ascii="Arial" w:hAnsi="Arial" w:cs="Arial"/>
          <w:sz w:val="24"/>
          <w:szCs w:val="24"/>
        </w:rPr>
      </w:pPr>
      <w:r w:rsidRPr="00B01112">
        <w:rPr>
          <w:rFonts w:ascii="Arial" w:hAnsi="Arial" w:cs="Arial"/>
          <w:sz w:val="24"/>
          <w:szCs w:val="24"/>
        </w:rPr>
        <w:t xml:space="preserve">In conclusion, through completing the research there is clear evidence to suggest that certain criminal traits can be genetic, thus criminals can be born rather than made. There is clarity found that genetics have an influence upon the behaviour of an individual. While there are limitations to this theory, the findings of both Rafter (1997) and </w:t>
      </w:r>
      <w:proofErr w:type="spellStart"/>
      <w:r w:rsidRPr="00B01112">
        <w:rPr>
          <w:rFonts w:ascii="Arial" w:hAnsi="Arial" w:cs="Arial"/>
          <w:sz w:val="24"/>
          <w:szCs w:val="24"/>
        </w:rPr>
        <w:t>Glueek</w:t>
      </w:r>
      <w:proofErr w:type="spellEnd"/>
      <w:r w:rsidRPr="00B01112">
        <w:rPr>
          <w:rFonts w:ascii="Arial" w:hAnsi="Arial" w:cs="Arial"/>
          <w:sz w:val="24"/>
          <w:szCs w:val="24"/>
        </w:rPr>
        <w:t>, (1958) prove that the born criminal exists, supporting the views of blah blah. Overall, the evidence found supports the theory that there is a clear correlation between certain body characteristics and delinquent behaviour resulting in criminality.</w:t>
      </w:r>
    </w:p>
    <w:p w14:paraId="34D1C5EE" w14:textId="6EA307BC" w:rsidR="001179EB" w:rsidRDefault="001179EB" w:rsidP="001179EB">
      <w:pPr>
        <w:spacing w:line="480" w:lineRule="auto"/>
        <w:jc w:val="both"/>
        <w:rPr>
          <w:rFonts w:ascii="Arial" w:hAnsi="Arial" w:cs="Arial"/>
          <w:sz w:val="24"/>
          <w:szCs w:val="24"/>
        </w:rPr>
      </w:pPr>
    </w:p>
    <w:p w14:paraId="7F6CB40D" w14:textId="08444133" w:rsidR="001179EB" w:rsidRDefault="001179EB" w:rsidP="001179EB">
      <w:pPr>
        <w:spacing w:line="480" w:lineRule="auto"/>
        <w:jc w:val="both"/>
        <w:rPr>
          <w:rFonts w:ascii="Arial" w:hAnsi="Arial" w:cs="Arial"/>
          <w:sz w:val="24"/>
          <w:szCs w:val="24"/>
        </w:rPr>
      </w:pPr>
    </w:p>
    <w:p w14:paraId="3D85F959" w14:textId="57BBB188" w:rsidR="001179EB" w:rsidRDefault="001179EB" w:rsidP="001179EB">
      <w:pPr>
        <w:spacing w:line="480" w:lineRule="auto"/>
        <w:jc w:val="both"/>
        <w:rPr>
          <w:rFonts w:ascii="Arial" w:hAnsi="Arial" w:cs="Arial"/>
          <w:sz w:val="24"/>
          <w:szCs w:val="24"/>
        </w:rPr>
      </w:pPr>
    </w:p>
    <w:p w14:paraId="5696A551" w14:textId="6C50F861" w:rsidR="001179EB" w:rsidRDefault="001179EB" w:rsidP="001179EB">
      <w:pPr>
        <w:spacing w:line="480" w:lineRule="auto"/>
        <w:jc w:val="both"/>
        <w:rPr>
          <w:rFonts w:ascii="Arial" w:hAnsi="Arial" w:cs="Arial"/>
          <w:sz w:val="24"/>
          <w:szCs w:val="24"/>
        </w:rPr>
      </w:pPr>
    </w:p>
    <w:p w14:paraId="795586EA" w14:textId="6125AB94" w:rsidR="001179EB" w:rsidRDefault="001179EB" w:rsidP="001179EB">
      <w:pPr>
        <w:spacing w:line="480" w:lineRule="auto"/>
        <w:jc w:val="both"/>
        <w:rPr>
          <w:rFonts w:ascii="Arial" w:hAnsi="Arial" w:cs="Arial"/>
          <w:sz w:val="24"/>
          <w:szCs w:val="24"/>
        </w:rPr>
      </w:pPr>
    </w:p>
    <w:p w14:paraId="7D342E3E" w14:textId="55DF0CCA" w:rsidR="001179EB" w:rsidRDefault="001179EB" w:rsidP="001179EB">
      <w:pPr>
        <w:spacing w:line="480" w:lineRule="auto"/>
        <w:jc w:val="both"/>
        <w:rPr>
          <w:rFonts w:ascii="Arial" w:hAnsi="Arial" w:cs="Arial"/>
          <w:sz w:val="24"/>
          <w:szCs w:val="24"/>
        </w:rPr>
      </w:pPr>
    </w:p>
    <w:p w14:paraId="68FA7C6B" w14:textId="6C84094F" w:rsidR="001179EB" w:rsidRDefault="001179EB" w:rsidP="001179EB">
      <w:pPr>
        <w:spacing w:line="480" w:lineRule="auto"/>
        <w:jc w:val="both"/>
        <w:rPr>
          <w:rFonts w:ascii="Arial" w:hAnsi="Arial" w:cs="Arial"/>
          <w:sz w:val="24"/>
          <w:szCs w:val="24"/>
        </w:rPr>
      </w:pPr>
    </w:p>
    <w:p w14:paraId="2065FFE1" w14:textId="04162F09" w:rsidR="001179EB" w:rsidRDefault="001179EB" w:rsidP="001179EB">
      <w:pPr>
        <w:spacing w:line="480" w:lineRule="auto"/>
        <w:jc w:val="both"/>
        <w:rPr>
          <w:rFonts w:ascii="Arial" w:hAnsi="Arial" w:cs="Arial"/>
          <w:sz w:val="24"/>
          <w:szCs w:val="24"/>
        </w:rPr>
      </w:pPr>
    </w:p>
    <w:p w14:paraId="783227C5" w14:textId="77777777" w:rsidR="009837A5" w:rsidRDefault="009837A5" w:rsidP="001179EB">
      <w:pPr>
        <w:spacing w:line="480" w:lineRule="auto"/>
        <w:jc w:val="both"/>
        <w:rPr>
          <w:rFonts w:ascii="Arial" w:hAnsi="Arial" w:cs="Arial"/>
          <w:sz w:val="24"/>
          <w:szCs w:val="24"/>
        </w:rPr>
      </w:pPr>
    </w:p>
    <w:p w14:paraId="7BA9CC27" w14:textId="0607E6E9" w:rsidR="001179EB" w:rsidRDefault="001179EB" w:rsidP="001179EB">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14:paraId="4A5BCED6" w14:textId="77777777" w:rsidR="001179EB" w:rsidRDefault="001179EB" w:rsidP="001179EB">
      <w:pPr>
        <w:rPr>
          <w:rFonts w:ascii="Arial" w:hAnsi="Arial" w:cs="Arial"/>
          <w:sz w:val="24"/>
          <w:szCs w:val="24"/>
        </w:rPr>
      </w:pPr>
      <w:r>
        <w:rPr>
          <w:rFonts w:ascii="Arial" w:hAnsi="Arial" w:cs="Arial"/>
          <w:sz w:val="24"/>
          <w:szCs w:val="24"/>
        </w:rPr>
        <w:t xml:space="preserve">Bernard, T.J. (2021) </w:t>
      </w:r>
      <w:r>
        <w:rPr>
          <w:rFonts w:ascii="Arial" w:hAnsi="Arial" w:cs="Arial"/>
          <w:i/>
          <w:iCs/>
          <w:sz w:val="24"/>
          <w:szCs w:val="24"/>
        </w:rPr>
        <w:t xml:space="preserve">William Sheldon, </w:t>
      </w:r>
      <w:r>
        <w:rPr>
          <w:rFonts w:ascii="Arial" w:hAnsi="Arial" w:cs="Arial"/>
          <w:sz w:val="24"/>
          <w:szCs w:val="24"/>
        </w:rPr>
        <w:t xml:space="preserve">Available at: </w:t>
      </w:r>
      <w:hyperlink r:id="rId6" w:history="1">
        <w:r w:rsidRPr="006E2E32">
          <w:rPr>
            <w:rStyle w:val="Hyperlink"/>
            <w:rFonts w:ascii="Arial" w:hAnsi="Arial" w:cs="Arial"/>
            <w:sz w:val="24"/>
            <w:szCs w:val="24"/>
          </w:rPr>
          <w:t>https://www.britannica.com/biography/William-Sheldon</w:t>
        </w:r>
      </w:hyperlink>
      <w:r>
        <w:rPr>
          <w:rFonts w:ascii="Arial" w:hAnsi="Arial" w:cs="Arial"/>
          <w:sz w:val="24"/>
          <w:szCs w:val="24"/>
        </w:rPr>
        <w:t xml:space="preserve"> (Accessed: 20</w:t>
      </w:r>
      <w:r w:rsidRPr="009B6A7C">
        <w:rPr>
          <w:rFonts w:ascii="Arial" w:hAnsi="Arial" w:cs="Arial"/>
          <w:sz w:val="24"/>
          <w:szCs w:val="24"/>
          <w:vertAlign w:val="superscript"/>
        </w:rPr>
        <w:t>th</w:t>
      </w:r>
      <w:r>
        <w:rPr>
          <w:rFonts w:ascii="Arial" w:hAnsi="Arial" w:cs="Arial"/>
          <w:sz w:val="24"/>
          <w:szCs w:val="24"/>
        </w:rPr>
        <w:t xml:space="preserve"> February 2022)</w:t>
      </w:r>
    </w:p>
    <w:p w14:paraId="3F1AC8DA" w14:textId="5F3F1B7A" w:rsidR="001179EB" w:rsidRPr="009D5139" w:rsidRDefault="001179EB" w:rsidP="001179EB">
      <w:pPr>
        <w:rPr>
          <w:rFonts w:ascii="Arial" w:hAnsi="Arial" w:cs="Arial"/>
          <w:sz w:val="24"/>
          <w:szCs w:val="24"/>
        </w:rPr>
      </w:pPr>
      <w:r w:rsidRPr="009D5139">
        <w:rPr>
          <w:rFonts w:ascii="Arial" w:hAnsi="Arial" w:cs="Arial"/>
          <w:sz w:val="24"/>
          <w:szCs w:val="24"/>
        </w:rPr>
        <w:t xml:space="preserve">Brookes, E. (2021) </w:t>
      </w:r>
      <w:r w:rsidRPr="009D5139">
        <w:rPr>
          <w:rFonts w:ascii="Arial" w:hAnsi="Arial" w:cs="Arial"/>
          <w:i/>
          <w:iCs/>
          <w:sz w:val="24"/>
          <w:szCs w:val="24"/>
        </w:rPr>
        <w:t xml:space="preserve">Cesare Lombroso: Theory of Crime, Criminal Man, and Atavism, </w:t>
      </w:r>
      <w:r w:rsidRPr="009D5139">
        <w:rPr>
          <w:rFonts w:ascii="Arial" w:hAnsi="Arial" w:cs="Arial"/>
          <w:sz w:val="24"/>
          <w:szCs w:val="24"/>
        </w:rPr>
        <w:t xml:space="preserve">Available at: </w:t>
      </w:r>
      <w:hyperlink r:id="rId7" w:history="1">
        <w:r w:rsidR="005100F8" w:rsidRPr="00E92F29">
          <w:rPr>
            <w:rStyle w:val="Hyperlink"/>
            <w:rFonts w:ascii="Arial" w:hAnsi="Arial" w:cs="Arial"/>
            <w:sz w:val="24"/>
            <w:szCs w:val="24"/>
          </w:rPr>
          <w:t>https://www.simplypsyCchology.org/lombroso-theory-of-crime-criminal-man-and-atavism.html</w:t>
        </w:r>
      </w:hyperlink>
      <w:r w:rsidRPr="009D5139">
        <w:rPr>
          <w:rFonts w:ascii="Arial" w:hAnsi="Arial" w:cs="Arial"/>
          <w:sz w:val="24"/>
          <w:szCs w:val="24"/>
        </w:rPr>
        <w:t xml:space="preserve"> (Accessed: 19</w:t>
      </w:r>
      <w:r w:rsidRPr="009D5139">
        <w:rPr>
          <w:rFonts w:ascii="Arial" w:hAnsi="Arial" w:cs="Arial"/>
          <w:sz w:val="24"/>
          <w:szCs w:val="24"/>
          <w:vertAlign w:val="superscript"/>
        </w:rPr>
        <w:t>th</w:t>
      </w:r>
      <w:r w:rsidRPr="009D5139">
        <w:rPr>
          <w:rFonts w:ascii="Arial" w:hAnsi="Arial" w:cs="Arial"/>
          <w:sz w:val="24"/>
          <w:szCs w:val="24"/>
        </w:rPr>
        <w:t xml:space="preserve"> February 2022)</w:t>
      </w:r>
    </w:p>
    <w:p w14:paraId="01981643" w14:textId="77777777" w:rsidR="001179EB" w:rsidRPr="009D5139" w:rsidRDefault="001179EB" w:rsidP="001179EB">
      <w:pPr>
        <w:rPr>
          <w:rFonts w:ascii="Arial" w:hAnsi="Arial" w:cs="Arial"/>
          <w:sz w:val="24"/>
          <w:szCs w:val="24"/>
        </w:rPr>
      </w:pPr>
      <w:r w:rsidRPr="009D5139">
        <w:rPr>
          <w:rFonts w:ascii="Arial" w:hAnsi="Arial" w:cs="Arial"/>
          <w:sz w:val="24"/>
          <w:szCs w:val="24"/>
        </w:rPr>
        <w:t xml:space="preserve">Crawshaw, E. (2020) ‘Lombroso and the criminal face’, </w:t>
      </w:r>
      <w:r w:rsidRPr="009D5139">
        <w:rPr>
          <w:rFonts w:ascii="Arial" w:hAnsi="Arial" w:cs="Arial"/>
          <w:i/>
          <w:iCs/>
          <w:sz w:val="24"/>
          <w:szCs w:val="24"/>
        </w:rPr>
        <w:t xml:space="preserve">National Emergency Services Museum </w:t>
      </w:r>
      <w:r w:rsidRPr="009D5139">
        <w:rPr>
          <w:rFonts w:ascii="Arial" w:hAnsi="Arial" w:cs="Arial"/>
          <w:sz w:val="24"/>
          <w:szCs w:val="24"/>
        </w:rPr>
        <w:t xml:space="preserve">[blog]. November 27. Available at: </w:t>
      </w:r>
      <w:hyperlink r:id="rId8" w:history="1">
        <w:r w:rsidRPr="009D5139">
          <w:rPr>
            <w:rStyle w:val="Hyperlink"/>
            <w:rFonts w:ascii="Arial" w:hAnsi="Arial" w:cs="Arial"/>
            <w:sz w:val="24"/>
            <w:szCs w:val="24"/>
          </w:rPr>
          <w:t>https://www.visitnesm.org.uk/post/lombroso-and-the-criminal-face</w:t>
        </w:r>
      </w:hyperlink>
      <w:r w:rsidRPr="009D5139">
        <w:rPr>
          <w:rFonts w:ascii="Arial" w:hAnsi="Arial" w:cs="Arial"/>
          <w:sz w:val="24"/>
          <w:szCs w:val="24"/>
        </w:rPr>
        <w:t xml:space="preserve"> (Accessed: 19</w:t>
      </w:r>
      <w:r w:rsidRPr="009D5139">
        <w:rPr>
          <w:rFonts w:ascii="Arial" w:hAnsi="Arial" w:cs="Arial"/>
          <w:sz w:val="24"/>
          <w:szCs w:val="24"/>
          <w:vertAlign w:val="superscript"/>
        </w:rPr>
        <w:t>th</w:t>
      </w:r>
      <w:r w:rsidRPr="009D5139">
        <w:rPr>
          <w:rFonts w:ascii="Arial" w:hAnsi="Arial" w:cs="Arial"/>
          <w:sz w:val="24"/>
          <w:szCs w:val="24"/>
        </w:rPr>
        <w:t xml:space="preserve"> February 2022)</w:t>
      </w:r>
    </w:p>
    <w:p w14:paraId="429AAB42" w14:textId="77777777" w:rsidR="001179EB" w:rsidRDefault="001179EB" w:rsidP="001179EB">
      <w:pPr>
        <w:rPr>
          <w:rFonts w:ascii="Arial" w:hAnsi="Arial" w:cs="Arial"/>
          <w:sz w:val="24"/>
          <w:szCs w:val="24"/>
        </w:rPr>
      </w:pPr>
      <w:r>
        <w:rPr>
          <w:rFonts w:ascii="Arial" w:hAnsi="Arial" w:cs="Arial"/>
          <w:sz w:val="24"/>
          <w:szCs w:val="24"/>
        </w:rPr>
        <w:t xml:space="preserve">Farrington, D.P. (1979) </w:t>
      </w:r>
      <w:r w:rsidRPr="001D5267">
        <w:rPr>
          <w:rFonts w:ascii="Arial" w:hAnsi="Arial" w:cs="Arial"/>
          <w:i/>
          <w:iCs/>
          <w:sz w:val="24"/>
          <w:szCs w:val="24"/>
        </w:rPr>
        <w:t>Psychology, Law and Legal Processes</w:t>
      </w:r>
      <w:r>
        <w:rPr>
          <w:rFonts w:ascii="Arial" w:hAnsi="Arial" w:cs="Arial"/>
          <w:i/>
          <w:iCs/>
          <w:sz w:val="24"/>
          <w:szCs w:val="24"/>
        </w:rPr>
        <w:t xml:space="preserve">, </w:t>
      </w:r>
      <w:r>
        <w:rPr>
          <w:rFonts w:ascii="Arial" w:hAnsi="Arial" w:cs="Arial"/>
          <w:sz w:val="24"/>
          <w:szCs w:val="24"/>
        </w:rPr>
        <w:t>New York: Springer</w:t>
      </w:r>
    </w:p>
    <w:p w14:paraId="42A8CF2E" w14:textId="77777777" w:rsidR="001179EB" w:rsidRDefault="001179EB" w:rsidP="001179EB">
      <w:pPr>
        <w:rPr>
          <w:rFonts w:ascii="Arial" w:hAnsi="Arial" w:cs="Arial"/>
          <w:sz w:val="24"/>
          <w:szCs w:val="24"/>
        </w:rPr>
      </w:pPr>
      <w:proofErr w:type="spellStart"/>
      <w:r>
        <w:rPr>
          <w:rFonts w:ascii="Arial" w:hAnsi="Arial" w:cs="Arial"/>
          <w:sz w:val="24"/>
          <w:szCs w:val="24"/>
        </w:rPr>
        <w:t>Ghiasi</w:t>
      </w:r>
      <w:proofErr w:type="spellEnd"/>
      <w:r>
        <w:rPr>
          <w:rFonts w:ascii="Arial" w:hAnsi="Arial" w:cs="Arial"/>
          <w:sz w:val="24"/>
          <w:szCs w:val="24"/>
        </w:rPr>
        <w:t xml:space="preserve">, N., </w:t>
      </w:r>
      <w:proofErr w:type="spellStart"/>
      <w:r>
        <w:rPr>
          <w:rFonts w:ascii="Arial" w:hAnsi="Arial" w:cs="Arial"/>
          <w:sz w:val="24"/>
          <w:szCs w:val="24"/>
        </w:rPr>
        <w:t>Azhar</w:t>
      </w:r>
      <w:proofErr w:type="spellEnd"/>
      <w:r>
        <w:rPr>
          <w:rFonts w:ascii="Arial" w:hAnsi="Arial" w:cs="Arial"/>
          <w:sz w:val="24"/>
          <w:szCs w:val="24"/>
        </w:rPr>
        <w:t xml:space="preserve">, Y., Singh, J. (2022) </w:t>
      </w:r>
      <w:r w:rsidRPr="00970301">
        <w:rPr>
          <w:rFonts w:ascii="Arial" w:hAnsi="Arial" w:cs="Arial"/>
          <w:i/>
          <w:iCs/>
          <w:sz w:val="24"/>
          <w:szCs w:val="24"/>
        </w:rPr>
        <w:t xml:space="preserve">Psychiatric Illness </w:t>
      </w:r>
      <w:proofErr w:type="gramStart"/>
      <w:r w:rsidRPr="00970301">
        <w:rPr>
          <w:rFonts w:ascii="Arial" w:hAnsi="Arial" w:cs="Arial"/>
          <w:i/>
          <w:iCs/>
          <w:sz w:val="24"/>
          <w:szCs w:val="24"/>
        </w:rPr>
        <w:t>And</w:t>
      </w:r>
      <w:proofErr w:type="gramEnd"/>
      <w:r w:rsidRPr="00970301">
        <w:rPr>
          <w:rFonts w:ascii="Arial" w:hAnsi="Arial" w:cs="Arial"/>
          <w:i/>
          <w:iCs/>
          <w:sz w:val="24"/>
          <w:szCs w:val="24"/>
        </w:rPr>
        <w:t xml:space="preserve"> Criminality</w:t>
      </w:r>
      <w:r>
        <w:rPr>
          <w:rFonts w:ascii="Arial" w:hAnsi="Arial" w:cs="Arial"/>
          <w:i/>
          <w:iCs/>
          <w:sz w:val="24"/>
          <w:szCs w:val="24"/>
        </w:rPr>
        <w:t xml:space="preserve">, </w:t>
      </w:r>
      <w:r>
        <w:rPr>
          <w:rFonts w:ascii="Arial" w:hAnsi="Arial" w:cs="Arial"/>
          <w:sz w:val="24"/>
          <w:szCs w:val="24"/>
        </w:rPr>
        <w:t xml:space="preserve">Treasure Island: StatPearls Publishing. Available at: </w:t>
      </w:r>
      <w:hyperlink r:id="rId9" w:history="1">
        <w:r w:rsidRPr="00F253E6">
          <w:rPr>
            <w:rStyle w:val="Hyperlink"/>
            <w:rFonts w:ascii="Arial" w:hAnsi="Arial" w:cs="Arial"/>
            <w:sz w:val="24"/>
            <w:szCs w:val="24"/>
          </w:rPr>
          <w:t>https://www.ncbi.nlm.nih.gov/books/NBK537064/</w:t>
        </w:r>
      </w:hyperlink>
      <w:r>
        <w:rPr>
          <w:rFonts w:ascii="Arial" w:hAnsi="Arial" w:cs="Arial"/>
          <w:sz w:val="24"/>
          <w:szCs w:val="24"/>
        </w:rPr>
        <w:t xml:space="preserve"> (Accessed: 23</w:t>
      </w:r>
      <w:r w:rsidRPr="00970301">
        <w:rPr>
          <w:rFonts w:ascii="Arial" w:hAnsi="Arial" w:cs="Arial"/>
          <w:sz w:val="24"/>
          <w:szCs w:val="24"/>
          <w:vertAlign w:val="superscript"/>
        </w:rPr>
        <w:t>rd</w:t>
      </w:r>
      <w:r>
        <w:rPr>
          <w:rFonts w:ascii="Arial" w:hAnsi="Arial" w:cs="Arial"/>
          <w:sz w:val="24"/>
          <w:szCs w:val="24"/>
        </w:rPr>
        <w:t xml:space="preserve"> February 2022)</w:t>
      </w:r>
    </w:p>
    <w:p w14:paraId="6120F299" w14:textId="77777777" w:rsidR="001179EB" w:rsidRDefault="001179EB" w:rsidP="001179EB">
      <w:pPr>
        <w:rPr>
          <w:rFonts w:ascii="Arial" w:hAnsi="Arial" w:cs="Arial"/>
          <w:sz w:val="24"/>
          <w:szCs w:val="24"/>
        </w:rPr>
      </w:pPr>
      <w:proofErr w:type="spellStart"/>
      <w:r>
        <w:rPr>
          <w:rFonts w:ascii="Arial" w:hAnsi="Arial" w:cs="Arial"/>
          <w:sz w:val="24"/>
          <w:szCs w:val="24"/>
        </w:rPr>
        <w:t>Glueek</w:t>
      </w:r>
      <w:proofErr w:type="spellEnd"/>
      <w:r>
        <w:rPr>
          <w:rFonts w:ascii="Arial" w:hAnsi="Arial" w:cs="Arial"/>
          <w:sz w:val="24"/>
          <w:szCs w:val="24"/>
        </w:rPr>
        <w:t xml:space="preserve">, E.T. (1958) ‘Body Build in the Prediction of Delinquency’, </w:t>
      </w:r>
      <w:r>
        <w:rPr>
          <w:rFonts w:ascii="Arial" w:hAnsi="Arial" w:cs="Arial"/>
          <w:i/>
          <w:iCs/>
          <w:sz w:val="24"/>
          <w:szCs w:val="24"/>
        </w:rPr>
        <w:t xml:space="preserve">The Journal of Criminal Law, Criminology, and Police Science, </w:t>
      </w:r>
      <w:r>
        <w:rPr>
          <w:rFonts w:ascii="Arial" w:hAnsi="Arial" w:cs="Arial"/>
          <w:sz w:val="24"/>
          <w:szCs w:val="24"/>
        </w:rPr>
        <w:t xml:space="preserve">Vol. 48(6), pp. 577-579). DOI: </w:t>
      </w:r>
      <w:r w:rsidRPr="00403D95">
        <w:rPr>
          <w:rFonts w:ascii="Arial" w:hAnsi="Arial" w:cs="Arial"/>
          <w:sz w:val="24"/>
          <w:szCs w:val="24"/>
        </w:rPr>
        <w:t>10.2307/1140253</w:t>
      </w:r>
    </w:p>
    <w:p w14:paraId="4807BE15" w14:textId="77777777" w:rsidR="001179EB" w:rsidRPr="009D5139" w:rsidRDefault="001179EB" w:rsidP="001179EB">
      <w:pPr>
        <w:rPr>
          <w:rFonts w:ascii="Arial" w:hAnsi="Arial" w:cs="Arial"/>
          <w:sz w:val="24"/>
          <w:szCs w:val="24"/>
        </w:rPr>
      </w:pPr>
      <w:r w:rsidRPr="009D5139">
        <w:rPr>
          <w:rFonts w:ascii="Arial" w:hAnsi="Arial" w:cs="Arial"/>
          <w:sz w:val="24"/>
          <w:szCs w:val="24"/>
        </w:rPr>
        <w:t xml:space="preserve">Kutner, L. (1953) ‘Criminology’, </w:t>
      </w:r>
      <w:r w:rsidRPr="009D5139">
        <w:rPr>
          <w:rFonts w:ascii="Arial" w:hAnsi="Arial" w:cs="Arial"/>
          <w:i/>
          <w:iCs/>
          <w:sz w:val="24"/>
          <w:szCs w:val="24"/>
        </w:rPr>
        <w:t xml:space="preserve">The American Journal of Comparative Law, </w:t>
      </w:r>
      <w:r w:rsidRPr="009D5139">
        <w:rPr>
          <w:rFonts w:ascii="Arial" w:hAnsi="Arial" w:cs="Arial"/>
          <w:sz w:val="24"/>
          <w:szCs w:val="24"/>
        </w:rPr>
        <w:t>Vol. 2(3), pp. 421-426. DOI: 10.2307/837497</w:t>
      </w:r>
    </w:p>
    <w:p w14:paraId="6C14180C" w14:textId="69FC3E1E" w:rsidR="001179EB" w:rsidRPr="009D5139" w:rsidRDefault="001179EB" w:rsidP="001179EB">
      <w:pPr>
        <w:rPr>
          <w:rFonts w:ascii="Arial" w:hAnsi="Arial" w:cs="Arial"/>
          <w:sz w:val="24"/>
          <w:szCs w:val="24"/>
        </w:rPr>
      </w:pPr>
      <w:r w:rsidRPr="009D5139">
        <w:rPr>
          <w:rFonts w:ascii="Arial" w:hAnsi="Arial" w:cs="Arial"/>
          <w:sz w:val="24"/>
          <w:szCs w:val="24"/>
        </w:rPr>
        <w:t>Mazzarello</w:t>
      </w:r>
      <w:r w:rsidR="00F43CBB">
        <w:rPr>
          <w:rFonts w:ascii="Arial" w:hAnsi="Arial" w:cs="Arial"/>
          <w:sz w:val="24"/>
          <w:szCs w:val="24"/>
        </w:rPr>
        <w:t>, P.</w:t>
      </w:r>
      <w:r w:rsidRPr="009D5139">
        <w:rPr>
          <w:rFonts w:ascii="Arial" w:hAnsi="Arial" w:cs="Arial"/>
          <w:sz w:val="24"/>
          <w:szCs w:val="24"/>
        </w:rPr>
        <w:t xml:space="preserve"> (2011) ‘Cesare Lombroso: an anthropologist between evolution and degeneration’, </w:t>
      </w:r>
      <w:r w:rsidRPr="009D5139">
        <w:rPr>
          <w:rFonts w:ascii="Arial" w:hAnsi="Arial" w:cs="Arial"/>
          <w:i/>
          <w:iCs/>
          <w:sz w:val="24"/>
          <w:szCs w:val="24"/>
        </w:rPr>
        <w:t xml:space="preserve">Functional Neurology, </w:t>
      </w:r>
      <w:r w:rsidRPr="009D5139">
        <w:rPr>
          <w:rFonts w:ascii="Arial" w:hAnsi="Arial" w:cs="Arial"/>
          <w:sz w:val="24"/>
          <w:szCs w:val="24"/>
        </w:rPr>
        <w:t xml:space="preserve">Vol. 26(2) pp. 97-101. Available at: </w:t>
      </w:r>
      <w:hyperlink r:id="rId10" w:history="1">
        <w:r w:rsidRPr="009D5139">
          <w:rPr>
            <w:rStyle w:val="Hyperlink"/>
            <w:rFonts w:ascii="Arial" w:hAnsi="Arial" w:cs="Arial"/>
            <w:sz w:val="24"/>
            <w:szCs w:val="24"/>
          </w:rPr>
          <w:t>https://www.ncbi.nlm.nih.gov/pmc/articles/PMC3814446/pdf/pag97_102.pdf</w:t>
        </w:r>
      </w:hyperlink>
      <w:r w:rsidRPr="009D5139">
        <w:rPr>
          <w:rFonts w:ascii="Arial" w:hAnsi="Arial" w:cs="Arial"/>
          <w:sz w:val="24"/>
          <w:szCs w:val="24"/>
        </w:rPr>
        <w:t xml:space="preserve"> (Accessed: 19</w:t>
      </w:r>
      <w:r w:rsidRPr="009D5139">
        <w:rPr>
          <w:rFonts w:ascii="Arial" w:hAnsi="Arial" w:cs="Arial"/>
          <w:sz w:val="24"/>
          <w:szCs w:val="24"/>
          <w:vertAlign w:val="superscript"/>
        </w:rPr>
        <w:t>th</w:t>
      </w:r>
      <w:r w:rsidRPr="009D5139">
        <w:rPr>
          <w:rFonts w:ascii="Arial" w:hAnsi="Arial" w:cs="Arial"/>
          <w:sz w:val="24"/>
          <w:szCs w:val="24"/>
        </w:rPr>
        <w:t xml:space="preserve"> February 2022)</w:t>
      </w:r>
    </w:p>
    <w:p w14:paraId="59EB7E31" w14:textId="77777777" w:rsidR="001179EB" w:rsidRDefault="001179EB" w:rsidP="001179EB">
      <w:pPr>
        <w:rPr>
          <w:rFonts w:ascii="Arial" w:hAnsi="Arial" w:cs="Arial"/>
          <w:color w:val="000000"/>
          <w:spacing w:val="-5"/>
          <w:sz w:val="24"/>
          <w:szCs w:val="24"/>
          <w:shd w:val="clear" w:color="auto" w:fill="FFFFFF"/>
        </w:rPr>
      </w:pPr>
      <w:r>
        <w:rPr>
          <w:rFonts w:ascii="Arial" w:hAnsi="Arial" w:cs="Arial"/>
          <w:color w:val="000000"/>
          <w:spacing w:val="-5"/>
          <w:sz w:val="24"/>
          <w:szCs w:val="24"/>
          <w:shd w:val="clear" w:color="auto" w:fill="FFFFFF"/>
        </w:rPr>
        <w:t xml:space="preserve">Nickerson, C. (2022) </w:t>
      </w:r>
      <w:r w:rsidRPr="00596A68">
        <w:rPr>
          <w:rFonts w:ascii="Arial" w:hAnsi="Arial" w:cs="Arial"/>
          <w:i/>
          <w:iCs/>
          <w:color w:val="000000"/>
          <w:spacing w:val="-5"/>
          <w:sz w:val="24"/>
          <w:szCs w:val="24"/>
          <w:shd w:val="clear" w:color="auto" w:fill="FFFFFF"/>
        </w:rPr>
        <w:t>Sheldon's Constitutional Theory: Somatotyping</w:t>
      </w:r>
      <w:r>
        <w:rPr>
          <w:rFonts w:ascii="Arial" w:hAnsi="Arial" w:cs="Arial"/>
          <w:i/>
          <w:iCs/>
          <w:color w:val="000000"/>
          <w:spacing w:val="-5"/>
          <w:sz w:val="24"/>
          <w:szCs w:val="24"/>
          <w:shd w:val="clear" w:color="auto" w:fill="FFFFFF"/>
        </w:rPr>
        <w:t xml:space="preserve">, </w:t>
      </w:r>
      <w:r>
        <w:rPr>
          <w:rFonts w:ascii="Arial" w:hAnsi="Arial" w:cs="Arial"/>
          <w:color w:val="000000"/>
          <w:spacing w:val="-5"/>
          <w:sz w:val="24"/>
          <w:szCs w:val="24"/>
          <w:shd w:val="clear" w:color="auto" w:fill="FFFFFF"/>
        </w:rPr>
        <w:t xml:space="preserve">Available at: </w:t>
      </w:r>
      <w:hyperlink r:id="rId11" w:history="1">
        <w:r w:rsidRPr="006E2E32">
          <w:rPr>
            <w:rStyle w:val="Hyperlink"/>
            <w:rFonts w:ascii="Arial" w:hAnsi="Arial" w:cs="Arial"/>
            <w:spacing w:val="-5"/>
            <w:sz w:val="24"/>
            <w:szCs w:val="24"/>
            <w:shd w:val="clear" w:color="auto" w:fill="FFFFFF"/>
          </w:rPr>
          <w:t>https://www.simplypsychology.org/sheldon-constitutional-theory-somatotyping.html</w:t>
        </w:r>
      </w:hyperlink>
      <w:r>
        <w:rPr>
          <w:rFonts w:ascii="Arial" w:hAnsi="Arial" w:cs="Arial"/>
          <w:color w:val="000000"/>
          <w:spacing w:val="-5"/>
          <w:sz w:val="24"/>
          <w:szCs w:val="24"/>
          <w:shd w:val="clear" w:color="auto" w:fill="FFFFFF"/>
        </w:rPr>
        <w:t xml:space="preserve"> (Accessed: 20</w:t>
      </w:r>
      <w:r w:rsidRPr="00596A68">
        <w:rPr>
          <w:rFonts w:ascii="Arial" w:hAnsi="Arial" w:cs="Arial"/>
          <w:color w:val="000000"/>
          <w:spacing w:val="-5"/>
          <w:sz w:val="24"/>
          <w:szCs w:val="24"/>
          <w:shd w:val="clear" w:color="auto" w:fill="FFFFFF"/>
          <w:vertAlign w:val="superscript"/>
        </w:rPr>
        <w:t>th</w:t>
      </w:r>
      <w:r>
        <w:rPr>
          <w:rFonts w:ascii="Arial" w:hAnsi="Arial" w:cs="Arial"/>
          <w:color w:val="000000"/>
          <w:spacing w:val="-5"/>
          <w:sz w:val="24"/>
          <w:szCs w:val="24"/>
          <w:shd w:val="clear" w:color="auto" w:fill="FFFFFF"/>
        </w:rPr>
        <w:t xml:space="preserve"> February 2022)</w:t>
      </w:r>
    </w:p>
    <w:p w14:paraId="3A550521" w14:textId="4270DDF7" w:rsidR="001179EB" w:rsidRPr="001179EB" w:rsidRDefault="001179EB" w:rsidP="001179EB">
      <w:pPr>
        <w:rPr>
          <w:rFonts w:ascii="Arial" w:hAnsi="Arial" w:cs="Arial"/>
          <w:sz w:val="24"/>
          <w:szCs w:val="24"/>
        </w:rPr>
      </w:pPr>
      <w:r>
        <w:rPr>
          <w:rFonts w:ascii="Arial" w:hAnsi="Arial" w:cs="Arial"/>
          <w:sz w:val="24"/>
          <w:szCs w:val="24"/>
        </w:rPr>
        <w:t xml:space="preserve">Rafter, N. (2007) ‘Somatotyping, </w:t>
      </w:r>
      <w:proofErr w:type="spellStart"/>
      <w:r>
        <w:rPr>
          <w:rFonts w:ascii="Arial" w:hAnsi="Arial" w:cs="Arial"/>
          <w:sz w:val="24"/>
          <w:szCs w:val="24"/>
        </w:rPr>
        <w:t>Antimodernism</w:t>
      </w:r>
      <w:proofErr w:type="spellEnd"/>
      <w:r>
        <w:rPr>
          <w:rFonts w:ascii="Arial" w:hAnsi="Arial" w:cs="Arial"/>
          <w:sz w:val="24"/>
          <w:szCs w:val="24"/>
        </w:rPr>
        <w:t xml:space="preserve">, and the Production of Criminological Knowledge’, </w:t>
      </w:r>
      <w:r w:rsidR="005259FA">
        <w:rPr>
          <w:rFonts w:ascii="Arial" w:hAnsi="Arial" w:cs="Arial"/>
          <w:i/>
          <w:iCs/>
          <w:sz w:val="24"/>
          <w:szCs w:val="24"/>
        </w:rPr>
        <w:t>Criminology</w:t>
      </w:r>
      <w:r>
        <w:rPr>
          <w:rFonts w:ascii="Arial" w:hAnsi="Arial" w:cs="Arial"/>
          <w:i/>
          <w:iCs/>
          <w:sz w:val="24"/>
          <w:szCs w:val="24"/>
        </w:rPr>
        <w:t xml:space="preserve">, </w:t>
      </w:r>
      <w:r>
        <w:rPr>
          <w:rFonts w:ascii="Arial" w:hAnsi="Arial" w:cs="Arial"/>
          <w:sz w:val="24"/>
          <w:szCs w:val="24"/>
        </w:rPr>
        <w:t xml:space="preserve">Vol. 45(4), pp. 805-833. DOI: </w:t>
      </w:r>
      <w:r w:rsidRPr="001A0185">
        <w:rPr>
          <w:rFonts w:ascii="Arial" w:hAnsi="Arial" w:cs="Arial"/>
          <w:sz w:val="24"/>
          <w:szCs w:val="24"/>
        </w:rPr>
        <w:t>10.1111/j.1745-9125.</w:t>
      </w:r>
      <w:proofErr w:type="gramStart"/>
      <w:r w:rsidRPr="001A0185">
        <w:rPr>
          <w:rFonts w:ascii="Arial" w:hAnsi="Arial" w:cs="Arial"/>
          <w:sz w:val="24"/>
          <w:szCs w:val="24"/>
        </w:rPr>
        <w:t>2007.00092.x</w:t>
      </w:r>
      <w:proofErr w:type="gramEnd"/>
    </w:p>
    <w:p w14:paraId="6AB288F8" w14:textId="77777777" w:rsidR="001179EB" w:rsidRPr="00852C44" w:rsidRDefault="001179EB" w:rsidP="001179EB">
      <w:pPr>
        <w:rPr>
          <w:rFonts w:ascii="Arial" w:hAnsi="Arial" w:cs="Arial"/>
          <w:sz w:val="24"/>
          <w:szCs w:val="24"/>
        </w:rPr>
      </w:pPr>
      <w:r>
        <w:rPr>
          <w:rFonts w:ascii="Arial" w:hAnsi="Arial" w:cs="Arial"/>
          <w:sz w:val="24"/>
          <w:szCs w:val="24"/>
        </w:rPr>
        <w:t xml:space="preserve">Rafter, N.H. (1997) </w:t>
      </w:r>
      <w:r>
        <w:rPr>
          <w:rFonts w:ascii="Arial" w:hAnsi="Arial" w:cs="Arial"/>
          <w:i/>
          <w:iCs/>
          <w:sz w:val="24"/>
          <w:szCs w:val="24"/>
        </w:rPr>
        <w:t xml:space="preserve">Creating Born Criminals, </w:t>
      </w:r>
      <w:r>
        <w:rPr>
          <w:rFonts w:ascii="Arial" w:hAnsi="Arial" w:cs="Arial"/>
          <w:sz w:val="24"/>
          <w:szCs w:val="24"/>
        </w:rPr>
        <w:t>Illinois: University of Illinois Press</w:t>
      </w:r>
    </w:p>
    <w:p w14:paraId="5E3D84F5" w14:textId="77777777" w:rsidR="001179EB" w:rsidRDefault="001179EB" w:rsidP="001179EB">
      <w:pPr>
        <w:rPr>
          <w:rFonts w:ascii="Arial" w:hAnsi="Arial" w:cs="Arial"/>
          <w:sz w:val="24"/>
          <w:szCs w:val="24"/>
        </w:rPr>
      </w:pPr>
      <w:r>
        <w:rPr>
          <w:rFonts w:ascii="Arial" w:hAnsi="Arial" w:cs="Arial"/>
          <w:sz w:val="24"/>
          <w:szCs w:val="24"/>
        </w:rPr>
        <w:t xml:space="preserve">Sammons, A. (2022) </w:t>
      </w:r>
      <w:r w:rsidRPr="0042753C">
        <w:rPr>
          <w:rFonts w:ascii="Arial" w:hAnsi="Arial" w:cs="Arial"/>
          <w:i/>
          <w:iCs/>
          <w:sz w:val="24"/>
          <w:szCs w:val="24"/>
        </w:rPr>
        <w:t>Physiological theories of offending</w:t>
      </w:r>
      <w:r>
        <w:rPr>
          <w:rFonts w:ascii="Arial" w:hAnsi="Arial" w:cs="Arial"/>
          <w:i/>
          <w:iCs/>
          <w:sz w:val="24"/>
          <w:szCs w:val="24"/>
        </w:rPr>
        <w:t xml:space="preserve">, </w:t>
      </w:r>
      <w:r>
        <w:rPr>
          <w:rFonts w:ascii="Arial" w:hAnsi="Arial" w:cs="Arial"/>
          <w:sz w:val="24"/>
          <w:szCs w:val="24"/>
        </w:rPr>
        <w:t xml:space="preserve">Available at: </w:t>
      </w:r>
      <w:hyperlink r:id="rId12" w:history="1">
        <w:r w:rsidRPr="00A62234">
          <w:rPr>
            <w:rStyle w:val="Hyperlink"/>
            <w:rFonts w:ascii="Arial" w:hAnsi="Arial" w:cs="Arial"/>
            <w:sz w:val="24"/>
            <w:szCs w:val="24"/>
          </w:rPr>
          <w:t>http://www.psychlotron.org.uk/newresources/criminological/a2_aqb_crim_physiologicaltheories.pdf</w:t>
        </w:r>
      </w:hyperlink>
      <w:r>
        <w:rPr>
          <w:rFonts w:ascii="Arial" w:hAnsi="Arial" w:cs="Arial"/>
          <w:sz w:val="24"/>
          <w:szCs w:val="24"/>
        </w:rPr>
        <w:t xml:space="preserve"> (Accessed: 20</w:t>
      </w:r>
      <w:r w:rsidRPr="0042753C">
        <w:rPr>
          <w:rFonts w:ascii="Arial" w:hAnsi="Arial" w:cs="Arial"/>
          <w:sz w:val="24"/>
          <w:szCs w:val="24"/>
          <w:vertAlign w:val="superscript"/>
        </w:rPr>
        <w:t>th</w:t>
      </w:r>
      <w:r>
        <w:rPr>
          <w:rFonts w:ascii="Arial" w:hAnsi="Arial" w:cs="Arial"/>
          <w:sz w:val="24"/>
          <w:szCs w:val="24"/>
        </w:rPr>
        <w:t xml:space="preserve"> February 2022)</w:t>
      </w:r>
    </w:p>
    <w:p w14:paraId="7922964C" w14:textId="77777777" w:rsidR="001179EB" w:rsidRDefault="001179EB" w:rsidP="001179EB">
      <w:pPr>
        <w:rPr>
          <w:rFonts w:ascii="Arial" w:hAnsi="Arial" w:cs="Arial"/>
          <w:sz w:val="24"/>
          <w:szCs w:val="24"/>
        </w:rPr>
      </w:pPr>
      <w:r>
        <w:rPr>
          <w:rFonts w:ascii="Arial" w:hAnsi="Arial" w:cs="Arial"/>
          <w:sz w:val="24"/>
          <w:szCs w:val="24"/>
        </w:rPr>
        <w:t xml:space="preserve">Siegal, L. (2008) </w:t>
      </w:r>
      <w:r>
        <w:rPr>
          <w:rFonts w:ascii="Arial" w:hAnsi="Arial" w:cs="Arial"/>
          <w:i/>
          <w:iCs/>
          <w:sz w:val="24"/>
          <w:szCs w:val="24"/>
        </w:rPr>
        <w:t xml:space="preserve">Criminology: The Core, </w:t>
      </w:r>
      <w:r>
        <w:rPr>
          <w:rFonts w:ascii="Arial" w:hAnsi="Arial" w:cs="Arial"/>
          <w:sz w:val="24"/>
          <w:szCs w:val="24"/>
        </w:rPr>
        <w:t>3</w:t>
      </w:r>
      <w:r w:rsidRPr="006865D4">
        <w:rPr>
          <w:rFonts w:ascii="Arial" w:hAnsi="Arial" w:cs="Arial"/>
          <w:sz w:val="24"/>
          <w:szCs w:val="24"/>
          <w:vertAlign w:val="superscript"/>
        </w:rPr>
        <w:t>rd</w:t>
      </w:r>
      <w:r>
        <w:rPr>
          <w:rFonts w:ascii="Arial" w:hAnsi="Arial" w:cs="Arial"/>
          <w:sz w:val="24"/>
          <w:szCs w:val="24"/>
        </w:rPr>
        <w:t xml:space="preserve"> Edition, Belmont: Cengage Learning</w:t>
      </w:r>
    </w:p>
    <w:p w14:paraId="3EECE602" w14:textId="77777777" w:rsidR="001179EB" w:rsidRPr="009D5139" w:rsidRDefault="001179EB" w:rsidP="001179EB">
      <w:pPr>
        <w:rPr>
          <w:rFonts w:ascii="Arial" w:hAnsi="Arial" w:cs="Arial"/>
          <w:sz w:val="24"/>
          <w:szCs w:val="24"/>
        </w:rPr>
      </w:pPr>
      <w:r w:rsidRPr="009D5139">
        <w:rPr>
          <w:rFonts w:ascii="Arial" w:hAnsi="Arial" w:cs="Arial"/>
          <w:sz w:val="24"/>
          <w:szCs w:val="24"/>
        </w:rPr>
        <w:t xml:space="preserve">The Scottish Centre for Crime &amp; Justice Research (2022) </w:t>
      </w:r>
      <w:r w:rsidRPr="009D5139">
        <w:rPr>
          <w:rFonts w:ascii="Arial" w:hAnsi="Arial" w:cs="Arial"/>
          <w:i/>
          <w:iCs/>
          <w:sz w:val="24"/>
          <w:szCs w:val="24"/>
        </w:rPr>
        <w:t xml:space="preserve">Theories and Causes of Crime, </w:t>
      </w:r>
      <w:r w:rsidRPr="009D5139">
        <w:rPr>
          <w:rFonts w:ascii="Arial" w:hAnsi="Arial" w:cs="Arial"/>
          <w:sz w:val="24"/>
          <w:szCs w:val="24"/>
        </w:rPr>
        <w:t xml:space="preserve">Available at: </w:t>
      </w:r>
      <w:hyperlink r:id="rId13" w:history="1">
        <w:r w:rsidRPr="009D5139">
          <w:rPr>
            <w:rStyle w:val="Hyperlink"/>
            <w:rFonts w:ascii="Arial" w:hAnsi="Arial" w:cs="Arial"/>
            <w:sz w:val="24"/>
            <w:szCs w:val="24"/>
          </w:rPr>
          <w:t>http://www.sccjr.ac.uk/wp-content/uploads/2016/02/SCCJR-Causes-of-Crime.pdf</w:t>
        </w:r>
      </w:hyperlink>
      <w:r w:rsidRPr="009D5139">
        <w:rPr>
          <w:rFonts w:ascii="Arial" w:hAnsi="Arial" w:cs="Arial"/>
          <w:sz w:val="24"/>
          <w:szCs w:val="24"/>
        </w:rPr>
        <w:t xml:space="preserve"> (Accessed: 19</w:t>
      </w:r>
      <w:r w:rsidRPr="009D5139">
        <w:rPr>
          <w:rFonts w:ascii="Arial" w:hAnsi="Arial" w:cs="Arial"/>
          <w:sz w:val="24"/>
          <w:szCs w:val="24"/>
          <w:vertAlign w:val="superscript"/>
        </w:rPr>
        <w:t>th</w:t>
      </w:r>
      <w:r w:rsidRPr="009D5139">
        <w:rPr>
          <w:rFonts w:ascii="Arial" w:hAnsi="Arial" w:cs="Arial"/>
          <w:sz w:val="24"/>
          <w:szCs w:val="24"/>
        </w:rPr>
        <w:t xml:space="preserve"> February 2022)</w:t>
      </w:r>
    </w:p>
    <w:p w14:paraId="2140B312" w14:textId="77777777" w:rsidR="001179EB" w:rsidRPr="00F159D0" w:rsidRDefault="001179EB" w:rsidP="001179EB">
      <w:pPr>
        <w:rPr>
          <w:rFonts w:ascii="Arial" w:hAnsi="Arial" w:cs="Arial"/>
          <w:sz w:val="24"/>
          <w:szCs w:val="24"/>
        </w:rPr>
      </w:pPr>
      <w:r>
        <w:rPr>
          <w:rFonts w:ascii="Arial" w:hAnsi="Arial" w:cs="Arial"/>
          <w:sz w:val="24"/>
          <w:szCs w:val="24"/>
        </w:rPr>
        <w:lastRenderedPageBreak/>
        <w:t xml:space="preserve">Walker, N. (2010) </w:t>
      </w:r>
      <w:r>
        <w:rPr>
          <w:rFonts w:ascii="Arial" w:hAnsi="Arial" w:cs="Arial"/>
          <w:i/>
          <w:iCs/>
          <w:sz w:val="24"/>
          <w:szCs w:val="24"/>
        </w:rPr>
        <w:t xml:space="preserve">Crime and Punishment in Britain, </w:t>
      </w:r>
      <w:r>
        <w:rPr>
          <w:rFonts w:ascii="Arial" w:hAnsi="Arial" w:cs="Arial"/>
          <w:sz w:val="24"/>
          <w:szCs w:val="24"/>
        </w:rPr>
        <w:t>New Jersey: Aldine Transaction</w:t>
      </w:r>
    </w:p>
    <w:p w14:paraId="4A2272EF" w14:textId="77777777" w:rsidR="001179EB" w:rsidRDefault="001179EB" w:rsidP="001179EB">
      <w:pPr>
        <w:rPr>
          <w:rFonts w:ascii="Arial" w:hAnsi="Arial" w:cs="Arial"/>
          <w:color w:val="000000"/>
          <w:spacing w:val="-5"/>
          <w:sz w:val="24"/>
          <w:szCs w:val="24"/>
          <w:shd w:val="clear" w:color="auto" w:fill="FFFFFF"/>
        </w:rPr>
      </w:pPr>
      <w:r w:rsidRPr="009D5139">
        <w:rPr>
          <w:rFonts w:ascii="Arial" w:hAnsi="Arial" w:cs="Arial"/>
          <w:sz w:val="24"/>
          <w:szCs w:val="24"/>
        </w:rPr>
        <w:t xml:space="preserve">Wolfgang, M.E. (1961) ‘Pioneers in Criminology: Cesare Lombroso (1835-1909)’, </w:t>
      </w:r>
      <w:r w:rsidRPr="009D5139">
        <w:rPr>
          <w:rFonts w:ascii="Arial" w:hAnsi="Arial" w:cs="Arial"/>
          <w:i/>
          <w:iCs/>
          <w:sz w:val="24"/>
          <w:szCs w:val="24"/>
        </w:rPr>
        <w:t xml:space="preserve">The Journal of Criminal Law, </w:t>
      </w:r>
      <w:r w:rsidRPr="009D5139">
        <w:rPr>
          <w:rFonts w:ascii="Arial" w:hAnsi="Arial" w:cs="Arial"/>
          <w:sz w:val="24"/>
          <w:szCs w:val="24"/>
        </w:rPr>
        <w:t xml:space="preserve">Vol. 52(4), pp. 361-391. DOI: </w:t>
      </w:r>
      <w:r w:rsidRPr="009D5139">
        <w:rPr>
          <w:rFonts w:ascii="Arial" w:hAnsi="Arial" w:cs="Arial"/>
          <w:color w:val="000000"/>
          <w:spacing w:val="-5"/>
          <w:sz w:val="24"/>
          <w:szCs w:val="24"/>
          <w:shd w:val="clear" w:color="auto" w:fill="FFFFFF"/>
        </w:rPr>
        <w:t>10.2307/1141263</w:t>
      </w:r>
    </w:p>
    <w:sectPr w:rsidR="001179E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755CD" w14:textId="77777777" w:rsidR="00F16123" w:rsidRDefault="00F16123" w:rsidP="00DC0E6E">
      <w:pPr>
        <w:spacing w:after="0" w:line="240" w:lineRule="auto"/>
      </w:pPr>
      <w:r>
        <w:separator/>
      </w:r>
    </w:p>
  </w:endnote>
  <w:endnote w:type="continuationSeparator" w:id="0">
    <w:p w14:paraId="1C75555D" w14:textId="77777777" w:rsidR="00F16123" w:rsidRDefault="00F16123" w:rsidP="00DC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756077"/>
      <w:docPartObj>
        <w:docPartGallery w:val="Page Numbers (Bottom of Page)"/>
        <w:docPartUnique/>
      </w:docPartObj>
    </w:sdtPr>
    <w:sdtEndPr>
      <w:rPr>
        <w:noProof/>
      </w:rPr>
    </w:sdtEndPr>
    <w:sdtContent>
      <w:p w14:paraId="2B8F3698" w14:textId="75DA7AC9" w:rsidR="00DC0E6E" w:rsidRDefault="00DC0E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92A69" w14:textId="77777777" w:rsidR="00DC0E6E" w:rsidRDefault="00DC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618CB" w14:textId="77777777" w:rsidR="00F16123" w:rsidRDefault="00F16123" w:rsidP="00DC0E6E">
      <w:pPr>
        <w:spacing w:after="0" w:line="240" w:lineRule="auto"/>
      </w:pPr>
      <w:r>
        <w:separator/>
      </w:r>
    </w:p>
  </w:footnote>
  <w:footnote w:type="continuationSeparator" w:id="0">
    <w:p w14:paraId="1B203B60" w14:textId="77777777" w:rsidR="00F16123" w:rsidRDefault="00F16123" w:rsidP="00DC0E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D6C98" w14:textId="0153A953" w:rsidR="00DC0E6E" w:rsidRDefault="00DC0E6E">
    <w:pPr>
      <w:pStyle w:val="Header"/>
    </w:pPr>
    <w:r>
      <w:t>BMPL5006</w:t>
    </w:r>
    <w:r>
      <w:ptab w:relativeTo="margin" w:alignment="center" w:leader="none"/>
    </w:r>
    <w:r>
      <w:ptab w:relativeTo="margin" w:alignment="right" w:leader="none"/>
    </w:r>
    <w:r>
      <w:t>Daniel Jones</w:t>
    </w:r>
  </w:p>
  <w:p w14:paraId="01937B72" w14:textId="57FFF221" w:rsidR="00DC0E6E" w:rsidRDefault="00DC0E6E">
    <w:pPr>
      <w:pStyle w:val="Header"/>
    </w:pP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01"/>
    <w:rsid w:val="000209D1"/>
    <w:rsid w:val="00025CE0"/>
    <w:rsid w:val="00057AF5"/>
    <w:rsid w:val="000C4824"/>
    <w:rsid w:val="001179EB"/>
    <w:rsid w:val="001276E5"/>
    <w:rsid w:val="00171114"/>
    <w:rsid w:val="00197F67"/>
    <w:rsid w:val="001D52A4"/>
    <w:rsid w:val="002527BD"/>
    <w:rsid w:val="0025763E"/>
    <w:rsid w:val="002E7817"/>
    <w:rsid w:val="002F1789"/>
    <w:rsid w:val="00343D02"/>
    <w:rsid w:val="00376547"/>
    <w:rsid w:val="003C4991"/>
    <w:rsid w:val="004B58A0"/>
    <w:rsid w:val="004D7645"/>
    <w:rsid w:val="005100F8"/>
    <w:rsid w:val="0051749F"/>
    <w:rsid w:val="005259FA"/>
    <w:rsid w:val="00560E72"/>
    <w:rsid w:val="00560FC3"/>
    <w:rsid w:val="005803B1"/>
    <w:rsid w:val="005859A8"/>
    <w:rsid w:val="005A7365"/>
    <w:rsid w:val="00607B54"/>
    <w:rsid w:val="0063189B"/>
    <w:rsid w:val="00675CFB"/>
    <w:rsid w:val="0068475D"/>
    <w:rsid w:val="006D34DC"/>
    <w:rsid w:val="006F444B"/>
    <w:rsid w:val="0071048B"/>
    <w:rsid w:val="007274EF"/>
    <w:rsid w:val="0076127F"/>
    <w:rsid w:val="007720CC"/>
    <w:rsid w:val="007A752B"/>
    <w:rsid w:val="007C112F"/>
    <w:rsid w:val="00841CF9"/>
    <w:rsid w:val="008E02B9"/>
    <w:rsid w:val="00926EA4"/>
    <w:rsid w:val="00930CCD"/>
    <w:rsid w:val="00934759"/>
    <w:rsid w:val="0095024F"/>
    <w:rsid w:val="009837A5"/>
    <w:rsid w:val="009A10FD"/>
    <w:rsid w:val="009C0B35"/>
    <w:rsid w:val="00AB26B4"/>
    <w:rsid w:val="00AC4446"/>
    <w:rsid w:val="00B01112"/>
    <w:rsid w:val="00B11BAF"/>
    <w:rsid w:val="00B1661B"/>
    <w:rsid w:val="00B4512E"/>
    <w:rsid w:val="00B669DF"/>
    <w:rsid w:val="00BC1A3A"/>
    <w:rsid w:val="00BC2487"/>
    <w:rsid w:val="00C26A26"/>
    <w:rsid w:val="00CA00B3"/>
    <w:rsid w:val="00CA5DD9"/>
    <w:rsid w:val="00CD3C8B"/>
    <w:rsid w:val="00CF5E2E"/>
    <w:rsid w:val="00D13415"/>
    <w:rsid w:val="00D23430"/>
    <w:rsid w:val="00DA6E60"/>
    <w:rsid w:val="00DC0E6E"/>
    <w:rsid w:val="00DD3094"/>
    <w:rsid w:val="00E04EA4"/>
    <w:rsid w:val="00E740B5"/>
    <w:rsid w:val="00EA7A9D"/>
    <w:rsid w:val="00EE6BEB"/>
    <w:rsid w:val="00F16123"/>
    <w:rsid w:val="00F43CBB"/>
    <w:rsid w:val="00F57E46"/>
    <w:rsid w:val="00F66F42"/>
    <w:rsid w:val="00FA3B01"/>
    <w:rsid w:val="00FA59B8"/>
    <w:rsid w:val="00FB5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59A49"/>
  <w15:chartTrackingRefBased/>
  <w15:docId w15:val="{309691B2-906F-4F23-A17F-3A793CABB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9EB"/>
    <w:rPr>
      <w:color w:val="0563C1" w:themeColor="hyperlink"/>
      <w:u w:val="single"/>
    </w:rPr>
  </w:style>
  <w:style w:type="paragraph" w:styleId="Header">
    <w:name w:val="header"/>
    <w:basedOn w:val="Normal"/>
    <w:link w:val="HeaderChar"/>
    <w:uiPriority w:val="99"/>
    <w:unhideWhenUsed/>
    <w:rsid w:val="00DC0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E6E"/>
  </w:style>
  <w:style w:type="paragraph" w:styleId="Footer">
    <w:name w:val="footer"/>
    <w:basedOn w:val="Normal"/>
    <w:link w:val="FooterChar"/>
    <w:uiPriority w:val="99"/>
    <w:unhideWhenUsed/>
    <w:rsid w:val="00DC0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E6E"/>
  </w:style>
  <w:style w:type="character" w:styleId="FollowedHyperlink">
    <w:name w:val="FollowedHyperlink"/>
    <w:basedOn w:val="DefaultParagraphFont"/>
    <w:uiPriority w:val="99"/>
    <w:semiHidden/>
    <w:unhideWhenUsed/>
    <w:rsid w:val="005100F8"/>
    <w:rPr>
      <w:color w:val="954F72" w:themeColor="followedHyperlink"/>
      <w:u w:val="single"/>
    </w:rPr>
  </w:style>
  <w:style w:type="character" w:styleId="UnresolvedMention">
    <w:name w:val="Unresolved Mention"/>
    <w:basedOn w:val="DefaultParagraphFont"/>
    <w:uiPriority w:val="99"/>
    <w:semiHidden/>
    <w:unhideWhenUsed/>
    <w:rsid w:val="005100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nesm.org.uk/post/lombroso-and-the-criminal-face" TargetMode="External"/><Relationship Id="rId13" Type="http://schemas.openxmlformats.org/officeDocument/2006/relationships/hyperlink" Target="http://www.sccjr.ac.uk/wp-content/uploads/2016/02/SCCJR-Causes-of-Crime.pdf" TargetMode="External"/><Relationship Id="rId3" Type="http://schemas.openxmlformats.org/officeDocument/2006/relationships/webSettings" Target="webSettings.xml"/><Relationship Id="rId7" Type="http://schemas.openxmlformats.org/officeDocument/2006/relationships/hyperlink" Target="https://www.simplypsyCchology.org/lombroso-theory-of-crime-criminal-man-and-atavism.html" TargetMode="External"/><Relationship Id="rId12" Type="http://schemas.openxmlformats.org/officeDocument/2006/relationships/hyperlink" Target="http://www.psychlotron.org.uk/newresources/criminological/a2_aqb_crim_physiologicaltheories.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itannica.com/biography/William-Sheldon" TargetMode="External"/><Relationship Id="rId11" Type="http://schemas.openxmlformats.org/officeDocument/2006/relationships/hyperlink" Target="https://www.simplypsychology.org/sheldon-constitutional-theory-somatotyping.html"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ncbi.nlm.nih.gov/pmc/articles/PMC3814446/pdf/pag97_102.pdf" TargetMode="External"/><Relationship Id="rId4" Type="http://schemas.openxmlformats.org/officeDocument/2006/relationships/footnotes" Target="footnotes.xml"/><Relationship Id="rId9" Type="http://schemas.openxmlformats.org/officeDocument/2006/relationships/hyperlink" Target="https://www.ncbi.nlm.nih.gov/books/NBK53706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717</TotalTime>
  <Pages>5</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 Jones</cp:lastModifiedBy>
  <cp:revision>50</cp:revision>
  <dcterms:created xsi:type="dcterms:W3CDTF">2022-02-19T13:59:00Z</dcterms:created>
  <dcterms:modified xsi:type="dcterms:W3CDTF">2022-03-03T12:08:00Z</dcterms:modified>
</cp:coreProperties>
</file>