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4938D4" w14:textId="31350A46" w:rsidR="00046642" w:rsidRPr="00046642" w:rsidRDefault="00046642">
      <w:pPr>
        <w:rPr>
          <w:sz w:val="48"/>
          <w:szCs w:val="48"/>
        </w:rPr>
      </w:pPr>
      <w:r w:rsidRPr="00046642">
        <w:rPr>
          <w:sz w:val="48"/>
          <w:szCs w:val="48"/>
        </w:rPr>
        <w:t>Name: JAC PRICE</w:t>
      </w:r>
    </w:p>
    <w:p w14:paraId="7004E651" w14:textId="26668D13" w:rsidR="00C754A2" w:rsidRDefault="00046642">
      <w:pPr>
        <w:rPr>
          <w:sz w:val="48"/>
          <w:szCs w:val="48"/>
        </w:rPr>
      </w:pPr>
      <w:r w:rsidRPr="00046642">
        <w:rPr>
          <w:sz w:val="48"/>
          <w:szCs w:val="48"/>
        </w:rPr>
        <w:t>Student Number: 2319857</w:t>
      </w:r>
    </w:p>
    <w:p w14:paraId="4FE757BC" w14:textId="77777777" w:rsidR="00046642" w:rsidRDefault="00046642">
      <w:pPr>
        <w:rPr>
          <w:sz w:val="48"/>
          <w:szCs w:val="48"/>
        </w:rPr>
      </w:pPr>
    </w:p>
    <w:p w14:paraId="020EBE21" w14:textId="77777777" w:rsidR="00046642" w:rsidRDefault="00046642">
      <w:pPr>
        <w:rPr>
          <w:sz w:val="48"/>
          <w:szCs w:val="48"/>
        </w:rPr>
      </w:pPr>
    </w:p>
    <w:p w14:paraId="52AAB136" w14:textId="77777777" w:rsidR="00046642" w:rsidRDefault="00046642">
      <w:pPr>
        <w:rPr>
          <w:sz w:val="48"/>
          <w:szCs w:val="48"/>
        </w:rPr>
      </w:pPr>
    </w:p>
    <w:p w14:paraId="0B7EC9A8" w14:textId="77777777" w:rsidR="00046642" w:rsidRDefault="00046642">
      <w:pPr>
        <w:rPr>
          <w:sz w:val="48"/>
          <w:szCs w:val="48"/>
        </w:rPr>
      </w:pPr>
    </w:p>
    <w:p w14:paraId="2E950397" w14:textId="77777777" w:rsidR="00046642" w:rsidRDefault="00046642">
      <w:pPr>
        <w:rPr>
          <w:sz w:val="48"/>
          <w:szCs w:val="48"/>
        </w:rPr>
      </w:pPr>
    </w:p>
    <w:p w14:paraId="0CB97E39" w14:textId="77777777" w:rsidR="00046642" w:rsidRDefault="00046642">
      <w:pPr>
        <w:rPr>
          <w:sz w:val="48"/>
          <w:szCs w:val="48"/>
        </w:rPr>
      </w:pPr>
    </w:p>
    <w:p w14:paraId="08C6667A" w14:textId="77777777" w:rsidR="00046642" w:rsidRDefault="00046642">
      <w:pPr>
        <w:rPr>
          <w:sz w:val="48"/>
          <w:szCs w:val="48"/>
        </w:rPr>
      </w:pPr>
    </w:p>
    <w:p w14:paraId="05F66675" w14:textId="77777777" w:rsidR="00046642" w:rsidRDefault="00046642">
      <w:pPr>
        <w:rPr>
          <w:sz w:val="48"/>
          <w:szCs w:val="48"/>
        </w:rPr>
      </w:pPr>
    </w:p>
    <w:p w14:paraId="2404703D" w14:textId="77777777" w:rsidR="00046642" w:rsidRDefault="00046642">
      <w:pPr>
        <w:rPr>
          <w:sz w:val="48"/>
          <w:szCs w:val="48"/>
        </w:rPr>
      </w:pPr>
    </w:p>
    <w:p w14:paraId="4E0D8B2E" w14:textId="77777777" w:rsidR="00046642" w:rsidRDefault="00046642">
      <w:pPr>
        <w:rPr>
          <w:sz w:val="48"/>
          <w:szCs w:val="48"/>
        </w:rPr>
      </w:pPr>
    </w:p>
    <w:p w14:paraId="5D1F17C1" w14:textId="77777777" w:rsidR="00046642" w:rsidRDefault="00046642">
      <w:pPr>
        <w:rPr>
          <w:sz w:val="48"/>
          <w:szCs w:val="48"/>
        </w:rPr>
      </w:pPr>
    </w:p>
    <w:p w14:paraId="6A305D95" w14:textId="77777777" w:rsidR="00046642" w:rsidRDefault="00046642">
      <w:pPr>
        <w:rPr>
          <w:sz w:val="48"/>
          <w:szCs w:val="48"/>
        </w:rPr>
      </w:pPr>
    </w:p>
    <w:p w14:paraId="2A0C79F4" w14:textId="77777777" w:rsidR="00046642" w:rsidRDefault="00046642">
      <w:pPr>
        <w:rPr>
          <w:sz w:val="48"/>
          <w:szCs w:val="48"/>
        </w:rPr>
      </w:pPr>
    </w:p>
    <w:p w14:paraId="4F6AE053" w14:textId="77777777" w:rsidR="00046642" w:rsidRDefault="00046642">
      <w:pPr>
        <w:rPr>
          <w:sz w:val="48"/>
          <w:szCs w:val="48"/>
        </w:rPr>
      </w:pPr>
    </w:p>
    <w:p w14:paraId="16CD0396" w14:textId="77777777" w:rsidR="00046642" w:rsidRDefault="00046642">
      <w:pPr>
        <w:rPr>
          <w:sz w:val="48"/>
          <w:szCs w:val="48"/>
        </w:rPr>
      </w:pPr>
    </w:p>
    <w:p w14:paraId="2FF522D6" w14:textId="77777777" w:rsidR="00046642" w:rsidRDefault="00046642">
      <w:pPr>
        <w:rPr>
          <w:sz w:val="48"/>
          <w:szCs w:val="48"/>
        </w:rPr>
      </w:pPr>
    </w:p>
    <w:p w14:paraId="215169E3" w14:textId="77777777" w:rsidR="00046642" w:rsidRPr="00046642" w:rsidRDefault="00046642" w:rsidP="00046642">
      <w:pPr>
        <w:rPr>
          <w:b/>
          <w:bCs/>
          <w:u w:val="single"/>
        </w:rPr>
      </w:pPr>
      <w:r w:rsidRPr="00046642">
        <w:rPr>
          <w:b/>
          <w:bCs/>
          <w:u w:val="single"/>
        </w:rPr>
        <w:t>What lessons have been learned from recent high-profile critical and major incidents, and how have these translated into best practice for policing?</w:t>
      </w:r>
    </w:p>
    <w:p w14:paraId="4B57E76E" w14:textId="77777777" w:rsidR="00046642" w:rsidRPr="00046642" w:rsidRDefault="00046642" w:rsidP="00046642">
      <w:r w:rsidRPr="00046642">
        <w:t>Over the course of the past two decades, the policing landscape has been deeply reshaped by a series of critical and major incidents that exposed operational vulnerabilities, strengthened public scrutiny, and drove systemic reform (HMICFRS, 2020). Events like the 7/7 London bombings (London Assembly, 2006) as well as the Manchester Arena bombing (Kerslake, 2018) have each served as important moments. The London Bridge attacks (Anderson, 2017), the Grenfell Tower fire (Moore-Bick, 2019), and the global response to the murder of George Floyd (Brown, 2021) have equally done so for modern policing policy and practice. These few incidents have been a subject to strict academic analysis and independent inquiries, leading to meaningful changes in the way police forces operate. These changes can be seen in areas such as multi-agency coordination, public communication, mass casualty handling, counterterrorism strategies, community engagement, officer wellbeing, and accountability. This essay looks at the effects that major and critical incidents have had on policing practices whilst looking at current challenges that police services face.</w:t>
      </w:r>
    </w:p>
    <w:p w14:paraId="0656491F" w14:textId="77777777" w:rsidR="00046642" w:rsidRPr="00046642" w:rsidRDefault="00046642" w:rsidP="00046642"/>
    <w:p w14:paraId="4B8A6E1C" w14:textId="12F6208D" w:rsidR="00046642" w:rsidRPr="00046642" w:rsidRDefault="00046642" w:rsidP="00046642">
      <w:r w:rsidRPr="00046642">
        <w:t>One of the most high-profile lessons coming from major incidents recently is the need for multi-agency coordination in being effective during emergencies. The bombing of the Manchester Arena did expose the need for improvement in this area. According to the Kerslake Report (2018), certain failures in communication between the Greater Manchester Police (GMP), British Transport Police, ambulance services, as well as fire services severely obstructed the response delivered to victims of the incident. The fire service notably did not arrive at the scene until nearly two hours after the attack. This was partly due to confusion about whether the scene was safe, which eventually led to lives being lost.</w:t>
      </w:r>
      <w:r>
        <w:t xml:space="preserve"> </w:t>
      </w:r>
      <w:r w:rsidRPr="00046642">
        <w:t xml:space="preserve">A similar study conducted by Innes &amp; Thiel (2008), on earlier coordination issues during the 7/7 London bombings, noted that although heroism was obvious, the uncoordinated sharing of live information between emergency services complicated the operational response. </w:t>
      </w:r>
    </w:p>
    <w:p w14:paraId="18AF1306" w14:textId="77777777" w:rsidR="00046642" w:rsidRPr="00046642" w:rsidRDefault="00046642" w:rsidP="00046642"/>
    <w:p w14:paraId="0F798168" w14:textId="77777777" w:rsidR="00046642" w:rsidRPr="00046642" w:rsidRDefault="00046642" w:rsidP="00046642">
      <w:r w:rsidRPr="00046642">
        <w:t>Launched in 2013, the Joint Emergency Services Interoperability Principles (JESIP) showed a big step forward in the way emergency services worked together during critical and major incidents in the United Kingdom. JESIP was developed as a response to how there appeared to be challenges in collaborative working, identified during previous incidents such as the 7/7 London bombings (2005) and major flooding events (Cabinet Office, 2012). These events highlighted just how miscommunication, along with any lack of shared situational awareness among police, fire, and ambulance services, could compromise the effectiveness of emergency responses (Pollock, 2013).</w:t>
      </w:r>
    </w:p>
    <w:p w14:paraId="43663D69" w14:textId="77777777" w:rsidR="00046642" w:rsidRPr="00046642" w:rsidRDefault="00046642" w:rsidP="00046642"/>
    <w:p w14:paraId="444EBBB0" w14:textId="77777777" w:rsidR="00046642" w:rsidRPr="00046642" w:rsidRDefault="00046642" w:rsidP="00046642">
      <w:r w:rsidRPr="00046642">
        <w:t xml:space="preserve">Prior to JESIP, many inquiries, like the 7/7 Review Committee Report (London Assembly, 2006), found major deficiencies in the manner that agencies shared information and coordinated decisions under pressure. Failures of that kind often resulted in efforts being duplicated as well as in delays to casualty receiving care. These reviews also identified that there was also some </w:t>
      </w:r>
      <w:r w:rsidRPr="00046642">
        <w:lastRenderedPageBreak/>
        <w:t>confusion about command structures. The UK government, in identifying these systemic flaws, launched a national scheme for forming a single structure improving multi-agency interoperability on every level (Home Office, 2013). JESIP introduced several key principles which are designed to be applied across emergency services: co-locate, communicate, coordinate, jointly understand risk, as well as share situational awareness (JESIP, 2013). These principles were intended as simple, powerful guidelines that would become second nature for emergency responders within stressful environments. The Joint Doctrine, a core document that outlined the responsibilities of different agencies during a major incident and published practical models such as the Joint Decision Model (JDM) to steer multi-agency decision-making (Home Office, 2016) was integral to JESIP’s introduction.</w:t>
      </w:r>
    </w:p>
    <w:p w14:paraId="1B8320E9" w14:textId="77777777" w:rsidR="00046642" w:rsidRPr="00046642" w:rsidRDefault="00046642" w:rsidP="00046642"/>
    <w:p w14:paraId="1092598C" w14:textId="77777777" w:rsidR="00046642" w:rsidRPr="00046642" w:rsidRDefault="00046642" w:rsidP="00046642">
      <w:r w:rsidRPr="00046642">
        <w:t>Training was an important aspect of JESIP’s early implementation. Between 2013 and 2015, approximately 40,000 personnel across police, fire, and ambulance services received face-to-face JESIP training (HMICFRS, 2015). Multi-agency training exercises became compulsory to ensure that the principles were embedded in practice, not just policy. The emphasis was on building a "common language" and mutual understanding, crucial elements for reducing confusion and improving effectiveness during live incidents (Wankhade, 2020). The necessity of JESIP came to be reaffirmed, in such a dramatic way, during evaluations of emergency incidents which followed, most notably in the Manchester Arena bombing of 2017. The Kerslake Report (2018) specifically noted that whilst JESIP principles were recognised, they were not completely adhered to, contributing to delays and confusion during the response. This reinforced importance not only of initial JESIP training but also of continual practice and reinforcement all throughout emergency services' operational culture.</w:t>
      </w:r>
    </w:p>
    <w:p w14:paraId="59820D99" w14:textId="77777777" w:rsidR="00046642" w:rsidRPr="00046642" w:rsidRDefault="00046642" w:rsidP="00046642"/>
    <w:p w14:paraId="6D509A32" w14:textId="77777777" w:rsidR="00046642" w:rsidRPr="00046642" w:rsidRDefault="00046642" w:rsidP="00046642">
      <w:r w:rsidRPr="00046642">
        <w:t>The broader importance of JESIP lies in its ambition to shift the UK's emergency response culture away from individual working towards a more integrated model. Research conducted by Waring et al. (2018), have commended JESIP for its potential within creating "collective competence," but they also warn that real interoperability requires commitment and cultural change from continuing leadership, not just alignment from procedure.</w:t>
      </w:r>
    </w:p>
    <w:p w14:paraId="4838546B" w14:textId="77777777" w:rsidR="00046642" w:rsidRPr="00046642" w:rsidRDefault="00046642" w:rsidP="00046642"/>
    <w:p w14:paraId="340B6836" w14:textId="77777777" w:rsidR="00046642" w:rsidRPr="00046642" w:rsidRDefault="00046642" w:rsidP="00046642">
      <w:r w:rsidRPr="00046642">
        <w:t xml:space="preserve">Counterterrorism policing has also evolved following intelligence-related failures that were identified in high-profile attacks. Intelligence suggesting Salman Abedi's radicalisation had been known to authorities before the Manchester Arena attack. Despite this, it was found that it was not acted upon effectively prior to the attack (ISC, 2018). This failure prompted reforms with emphasis on intelligence sharing, threat assessments at the local level, and a strengthened Prevent Strategy within the National Counter-Terrorism Policing strategy (HM Government, 2021). The Prevent strategy now incorporates several multi-agency panels, </w:t>
      </w:r>
      <w:proofErr w:type="gramStart"/>
      <w:r w:rsidRPr="00046642">
        <w:t>in order to</w:t>
      </w:r>
      <w:proofErr w:type="gramEnd"/>
      <w:r w:rsidRPr="00046642">
        <w:t xml:space="preserve"> proactively support people at risk of radicalisation, targeting to disrupt potential threats before they fully materialise.</w:t>
      </w:r>
    </w:p>
    <w:p w14:paraId="34A9A334" w14:textId="77777777" w:rsidR="00046642" w:rsidRPr="00046642" w:rsidRDefault="00046642" w:rsidP="00046642"/>
    <w:p w14:paraId="6AE6D595" w14:textId="77777777" w:rsidR="00046642" w:rsidRPr="00046642" w:rsidRDefault="00046642" w:rsidP="00046642">
      <w:r w:rsidRPr="00046642">
        <w:t xml:space="preserve">The concept of "hot debriefs," highlighted by the Home Office (2019), was another innovation following the Manchester Arena attack. Immediate post-incident reviews make certain that </w:t>
      </w:r>
      <w:r w:rsidRPr="00046642">
        <w:lastRenderedPageBreak/>
        <w:t>critical lessons are captured in real-time, influencing training as well as operational planning almost immediately after a major incident.</w:t>
      </w:r>
    </w:p>
    <w:p w14:paraId="349CB136" w14:textId="77777777" w:rsidR="00046642" w:rsidRPr="00046642" w:rsidRDefault="00046642" w:rsidP="00046642"/>
    <w:p w14:paraId="7A4736A9" w14:textId="77777777" w:rsidR="00046642" w:rsidRPr="00046642" w:rsidRDefault="00046642" w:rsidP="00046642">
      <w:r w:rsidRPr="00046642">
        <w:t xml:space="preserve">However, researchers including Innes (2020) indicate that counterterrorism strategies must carefully balance proactive security measures with the need to maintain community trust, particularly within minority and marginalised groups. While Intelligence-Led Policing (ILP) and initiatives such as the Prevent strategy aim to identify and intervene with individuals at risk of radicalisation (Ratcliffe, 2016; HM Government, 2021), there is an ongoing risk that overly aggressive surveillance or disproportionate targeting of certain communities could reinforce feelings of alienation and distrust (Awan, 2012). </w:t>
      </w:r>
    </w:p>
    <w:p w14:paraId="1908EDA1" w14:textId="77777777" w:rsidR="00046642" w:rsidRPr="00046642" w:rsidRDefault="00046642" w:rsidP="00046642"/>
    <w:p w14:paraId="0690F343" w14:textId="77777777" w:rsidR="00046642" w:rsidRPr="00046642" w:rsidRDefault="00046642" w:rsidP="00046642">
      <w:r w:rsidRPr="00046642">
        <w:t xml:space="preserve">Innes (2020) warns that when communities perceive themselves as being unfairly scrutinised or treated with suspicion, it can deteriorate the relationships that policing strategies rely upon for effective intelligence gathering and early threat detection. This tension creates a challenge within counterterrorism </w:t>
      </w:r>
      <w:proofErr w:type="gramStart"/>
      <w:r w:rsidRPr="00046642">
        <w:t>policing;</w:t>
      </w:r>
      <w:proofErr w:type="gramEnd"/>
      <w:r w:rsidRPr="00046642">
        <w:t xml:space="preserve"> fostering partnerships with communities while simultaneously pursuing a proactive security agenda (Mythen, </w:t>
      </w:r>
      <w:proofErr w:type="spellStart"/>
      <w:r w:rsidRPr="00046642">
        <w:t>Walklate</w:t>
      </w:r>
      <w:proofErr w:type="spellEnd"/>
      <w:r w:rsidRPr="00046642">
        <w:t xml:space="preserve"> and Khan, 2013). If not handled sensitively, counterterrorism measures risk creating a "suspect community" dynamic, where individuals are seen less as members of the public, and more as potential threats, which could increase social divisions and undermine national security efforts (Pantazis and Pemberton, 2009).</w:t>
      </w:r>
    </w:p>
    <w:p w14:paraId="01D1068B" w14:textId="77777777" w:rsidR="00046642" w:rsidRPr="00046642" w:rsidRDefault="00046642" w:rsidP="00046642"/>
    <w:p w14:paraId="4AF4B49F" w14:textId="77777777" w:rsidR="00046642" w:rsidRPr="00046642" w:rsidRDefault="00046642" w:rsidP="00046642">
      <w:r w:rsidRPr="00046642">
        <w:t xml:space="preserve">The Grenfell Tower fire in 2017 provided an important example of how poor public communication can exacerbate trauma as well as fuel public outrage. Fahy, Walker, and O’Connor (2019) found that the chaotic flow of various conflicting information following the incident, including uncertainty over the total number of deaths and the absence of visible leadership severely diminished trust in both local and national authorities. The Grenfell case study highlighted the need for communication during major incidents, communication which should be timely, transparent, and empathetic. As a response, police services plus local authorities have adopted some calculated communication frameworks, emphasising clarity, honesty, and direct community engagement during major incidents (HMICFRS, 2019). </w:t>
      </w:r>
    </w:p>
    <w:p w14:paraId="28C22576" w14:textId="77777777" w:rsidR="00046642" w:rsidRPr="00046642" w:rsidRDefault="00046642" w:rsidP="00046642"/>
    <w:p w14:paraId="3B23E759" w14:textId="77777777" w:rsidR="00046642" w:rsidRPr="00046642" w:rsidRDefault="00046642" w:rsidP="00046642">
      <w:r w:rsidRPr="00046642">
        <w:t>Today, forces such as the Metropolitan Police Service (MPS) routinely deploy dedicated communication officers during critical incidents, utilizing social media for real-time updates and ensuring community liaison officers engage directly with affected populations. Despite this, keeping a balance between operational secrecy (where needed for security) and public transparency remains a controversial issue, especially in incidents involving multiple fatalities or allegations of misconduct.</w:t>
      </w:r>
    </w:p>
    <w:p w14:paraId="6B6F261C" w14:textId="77777777" w:rsidR="00046642" w:rsidRPr="00046642" w:rsidRDefault="00046642" w:rsidP="00046642"/>
    <w:p w14:paraId="7BF9F187" w14:textId="77777777" w:rsidR="00046642" w:rsidRDefault="00046642" w:rsidP="00046642"/>
    <w:p w14:paraId="2215E5C7" w14:textId="558F77F6" w:rsidR="00046642" w:rsidRPr="00046642" w:rsidRDefault="00046642" w:rsidP="00046642">
      <w:r w:rsidRPr="00046642">
        <w:t xml:space="preserve">Another major incident which resulted in lessons being learned is the London Bridge terror attacks in 2017. The London Bridge attacks showed how frontline policing changes during terrorist incidents. Officers were forced to engage those attackers directly in the scene and </w:t>
      </w:r>
      <w:r w:rsidRPr="00046642">
        <w:lastRenderedPageBreak/>
        <w:t>providing first aid to the multiple victims immediately. Graham et al. (2020) note that these attacks blurred most traditional policing roles, leading to the introduction of trauma-informed policing approaches. Following this incident, police officers now receive training in haemorrhage control and CPR, as well as receiving training in the psychological management of victims in shock. The College of Policing (2020) states that they have distributed several trauma packs, known as bleed control kits, across high-risk public areas, and operational officers are trained to provide immediate lifesaving interventions until specialist medical teams arrive. Not only do these initiatives save lives but they also help to humanise police officers in the perception of the public, reinforcing the role of the police as protectors and first responders in emergency situations.</w:t>
      </w:r>
    </w:p>
    <w:p w14:paraId="3D1CC275" w14:textId="77777777" w:rsidR="00046642" w:rsidRPr="00046642" w:rsidRDefault="00046642" w:rsidP="00046642"/>
    <w:p w14:paraId="135CE111" w14:textId="77777777" w:rsidR="00046642" w:rsidRPr="00046642" w:rsidRDefault="00046642" w:rsidP="00046642">
      <w:r w:rsidRPr="00046642">
        <w:t>The death of George Floyd in the United States, and the Black Lives Matter protests which followed in 2020, brought global debates about racism, policing, and use of force. Although legislation and policing practices in the UK differ considerably from in the U.S., similar concerns were raised regarding racial bias, stop-and-search practices, as well as use of force. The UK's response included the increased implementation of Body Worn Video (BWV) for frontline officers. Ariel et al. (2017) have found that BWV reduces the number of complaints as against officers and captures critical evidence in relation to cases of alleged misconduct. Lum et al. (2019) further showed that BWV helps with the promotion of professional behaviour during interactions in public. Furthermore, a study conducted by Shiner et al (2020), found that changes were needed to be implemented to reduce racial disproportionality within stop searches. The study emphasises that there was a need for more intelligence-led approaches rather than relying on general profiling due to factors such as race.</w:t>
      </w:r>
    </w:p>
    <w:p w14:paraId="6D33057E" w14:textId="77777777" w:rsidR="00046642" w:rsidRPr="00046642" w:rsidRDefault="00046642" w:rsidP="00046642"/>
    <w:p w14:paraId="59669514" w14:textId="77777777" w:rsidR="00046642" w:rsidRPr="00046642" w:rsidRDefault="00046642" w:rsidP="00046642">
      <w:r w:rsidRPr="00046642">
        <w:t>Case studies such as the fatal police shooting of Mark Duggan in 2011, and the more recent death of Chris Kaba’s in 2022, have shown how incidents can increase community tensions, particularly amongst minority communities. Waddington (2018) argues excessive or unjustified force can severely damage public trust, leading to social divides. Bias training for officers, including modules on unconscious bias (Kahn et al., 2017; Todak, 2017), is now routine practice in police training across the UK. However, some critics argue that training by itself isn’t enough unless the underlying institutional biases are addressed. The Independent Office for Police Conduct (IOPC) has also been strengthened to enhance independent oversight and reinforce accountability following complaints of police misconduct.</w:t>
      </w:r>
    </w:p>
    <w:p w14:paraId="4F720618" w14:textId="77777777" w:rsidR="00046642" w:rsidRPr="00046642" w:rsidRDefault="00046642" w:rsidP="00046642"/>
    <w:p w14:paraId="64609AC9" w14:textId="77777777" w:rsidR="00046642" w:rsidRPr="00046642" w:rsidRDefault="00046642" w:rsidP="00046642">
      <w:r w:rsidRPr="00046642">
        <w:t xml:space="preserve">In conclusion, the recent critical and major incidents have been important in making changes in the practice of policing in the UK. Events such as the 7/7 London bombings, the Manchester Arena attack, the London Bridge attacks, the Grenfell Tower fire, and the response to George Floyd’s death have all highlighted areas of improvement in policing operations and multi-agency coordination. These incidents were the start of public enquiries, with changes in strengthening emergency response, community relations. Officer accountability. Initiatives such as JESIP have greatly improved multi-agency interoperability, with developments in counterterrorism strategies, trauma-informed policing, and practices within public communication have responded to operational shortcomings that were identified throughout major incidents. However, there are still challenges present, especially in maintaining community trust and </w:t>
      </w:r>
      <w:r w:rsidRPr="00046642">
        <w:lastRenderedPageBreak/>
        <w:t>managing racial disproportionality. Embedding cultural change within policing institutions also poses a challenge, with new threats and social expectations still evolving, police services must remain committed to continuous learning, transparency, and reform, ensuring lessons from past incidents are fully integrated into everyday practice to safeguard public confidence and effectiveness within policing.</w:t>
      </w:r>
    </w:p>
    <w:p w14:paraId="691F0994" w14:textId="77777777" w:rsidR="00046642" w:rsidRPr="00046642" w:rsidRDefault="00046642" w:rsidP="00046642"/>
    <w:p w14:paraId="5198EA0F" w14:textId="66BF5691" w:rsidR="00046642" w:rsidRPr="00046642" w:rsidRDefault="00046642" w:rsidP="00046642">
      <w:pPr>
        <w:rPr>
          <w:b/>
          <w:bCs/>
        </w:rPr>
      </w:pPr>
      <w:r w:rsidRPr="00046642">
        <w:rPr>
          <w:b/>
          <w:bCs/>
        </w:rPr>
        <w:t>1849 words</w:t>
      </w:r>
    </w:p>
    <w:p w14:paraId="4C297F2A" w14:textId="77777777" w:rsidR="00046642" w:rsidRDefault="00046642" w:rsidP="00046642"/>
    <w:p w14:paraId="775F49D2" w14:textId="77777777" w:rsidR="00046642" w:rsidRDefault="00046642" w:rsidP="00046642"/>
    <w:p w14:paraId="1EC99124" w14:textId="77777777" w:rsidR="00046642" w:rsidRDefault="00046642" w:rsidP="00046642"/>
    <w:p w14:paraId="009A7452" w14:textId="77777777" w:rsidR="00046642" w:rsidRDefault="00046642" w:rsidP="00046642">
      <w:pPr>
        <w:rPr>
          <w:b/>
          <w:bCs/>
          <w:u w:val="single"/>
        </w:rPr>
      </w:pPr>
    </w:p>
    <w:p w14:paraId="3687F508" w14:textId="77777777" w:rsidR="00046642" w:rsidRDefault="00046642" w:rsidP="00046642">
      <w:pPr>
        <w:rPr>
          <w:b/>
          <w:bCs/>
          <w:u w:val="single"/>
        </w:rPr>
      </w:pPr>
    </w:p>
    <w:p w14:paraId="7EE8DE5C" w14:textId="77777777" w:rsidR="00046642" w:rsidRDefault="00046642" w:rsidP="00046642">
      <w:pPr>
        <w:rPr>
          <w:b/>
          <w:bCs/>
          <w:u w:val="single"/>
        </w:rPr>
      </w:pPr>
    </w:p>
    <w:p w14:paraId="1F9A8880" w14:textId="77777777" w:rsidR="00046642" w:rsidRDefault="00046642" w:rsidP="00046642">
      <w:pPr>
        <w:rPr>
          <w:b/>
          <w:bCs/>
          <w:u w:val="single"/>
        </w:rPr>
      </w:pPr>
    </w:p>
    <w:p w14:paraId="102BEA85" w14:textId="77777777" w:rsidR="00046642" w:rsidRDefault="00046642" w:rsidP="00046642">
      <w:pPr>
        <w:rPr>
          <w:b/>
          <w:bCs/>
          <w:u w:val="single"/>
        </w:rPr>
      </w:pPr>
    </w:p>
    <w:p w14:paraId="05223227" w14:textId="77777777" w:rsidR="00046642" w:rsidRDefault="00046642" w:rsidP="00046642">
      <w:pPr>
        <w:rPr>
          <w:b/>
          <w:bCs/>
          <w:u w:val="single"/>
        </w:rPr>
      </w:pPr>
    </w:p>
    <w:p w14:paraId="4389EC2B" w14:textId="77777777" w:rsidR="00046642" w:rsidRDefault="00046642" w:rsidP="00046642">
      <w:pPr>
        <w:rPr>
          <w:b/>
          <w:bCs/>
          <w:u w:val="single"/>
        </w:rPr>
      </w:pPr>
    </w:p>
    <w:p w14:paraId="3DEE3E59" w14:textId="77777777" w:rsidR="00046642" w:rsidRDefault="00046642" w:rsidP="00046642">
      <w:pPr>
        <w:rPr>
          <w:b/>
          <w:bCs/>
          <w:u w:val="single"/>
        </w:rPr>
      </w:pPr>
    </w:p>
    <w:p w14:paraId="1CB98597" w14:textId="77777777" w:rsidR="00046642" w:rsidRDefault="00046642" w:rsidP="00046642">
      <w:pPr>
        <w:rPr>
          <w:b/>
          <w:bCs/>
          <w:u w:val="single"/>
        </w:rPr>
      </w:pPr>
    </w:p>
    <w:p w14:paraId="76D3ED71" w14:textId="77777777" w:rsidR="00046642" w:rsidRDefault="00046642" w:rsidP="00046642">
      <w:pPr>
        <w:rPr>
          <w:b/>
          <w:bCs/>
          <w:u w:val="single"/>
        </w:rPr>
      </w:pPr>
    </w:p>
    <w:p w14:paraId="7B83BAB8" w14:textId="77777777" w:rsidR="00046642" w:rsidRDefault="00046642" w:rsidP="00046642">
      <w:pPr>
        <w:rPr>
          <w:b/>
          <w:bCs/>
          <w:u w:val="single"/>
        </w:rPr>
      </w:pPr>
    </w:p>
    <w:p w14:paraId="7F26717C" w14:textId="77777777" w:rsidR="00046642" w:rsidRDefault="00046642" w:rsidP="00046642">
      <w:pPr>
        <w:rPr>
          <w:b/>
          <w:bCs/>
          <w:u w:val="single"/>
        </w:rPr>
      </w:pPr>
    </w:p>
    <w:p w14:paraId="2B746122" w14:textId="77777777" w:rsidR="00046642" w:rsidRDefault="00046642" w:rsidP="00046642">
      <w:pPr>
        <w:rPr>
          <w:b/>
          <w:bCs/>
          <w:u w:val="single"/>
        </w:rPr>
      </w:pPr>
    </w:p>
    <w:p w14:paraId="0203F92E" w14:textId="77777777" w:rsidR="00046642" w:rsidRDefault="00046642" w:rsidP="00046642">
      <w:pPr>
        <w:rPr>
          <w:b/>
          <w:bCs/>
          <w:u w:val="single"/>
        </w:rPr>
      </w:pPr>
    </w:p>
    <w:p w14:paraId="22BD42CF" w14:textId="77777777" w:rsidR="00046642" w:rsidRDefault="00046642" w:rsidP="00046642">
      <w:pPr>
        <w:rPr>
          <w:b/>
          <w:bCs/>
          <w:u w:val="single"/>
        </w:rPr>
      </w:pPr>
    </w:p>
    <w:p w14:paraId="3B14EA2F" w14:textId="77777777" w:rsidR="00046642" w:rsidRDefault="00046642" w:rsidP="00046642">
      <w:pPr>
        <w:rPr>
          <w:b/>
          <w:bCs/>
          <w:u w:val="single"/>
        </w:rPr>
      </w:pPr>
    </w:p>
    <w:p w14:paraId="50A5E2B6" w14:textId="77777777" w:rsidR="00046642" w:rsidRDefault="00046642" w:rsidP="00046642">
      <w:pPr>
        <w:rPr>
          <w:b/>
          <w:bCs/>
          <w:u w:val="single"/>
        </w:rPr>
      </w:pPr>
    </w:p>
    <w:p w14:paraId="57B06411" w14:textId="77777777" w:rsidR="00046642" w:rsidRDefault="00046642" w:rsidP="00046642">
      <w:pPr>
        <w:rPr>
          <w:b/>
          <w:bCs/>
          <w:u w:val="single"/>
        </w:rPr>
      </w:pPr>
    </w:p>
    <w:p w14:paraId="6C3DCD88" w14:textId="77777777" w:rsidR="00046642" w:rsidRDefault="00046642" w:rsidP="00046642">
      <w:pPr>
        <w:rPr>
          <w:b/>
          <w:bCs/>
          <w:u w:val="single"/>
        </w:rPr>
      </w:pPr>
    </w:p>
    <w:p w14:paraId="776A485E" w14:textId="77777777" w:rsidR="00046642" w:rsidRDefault="00046642" w:rsidP="00046642">
      <w:pPr>
        <w:rPr>
          <w:b/>
          <w:bCs/>
          <w:u w:val="single"/>
        </w:rPr>
      </w:pPr>
    </w:p>
    <w:p w14:paraId="6B00B22B" w14:textId="77777777" w:rsidR="00046642" w:rsidRDefault="00046642" w:rsidP="00046642">
      <w:pPr>
        <w:rPr>
          <w:b/>
          <w:bCs/>
          <w:u w:val="single"/>
        </w:rPr>
      </w:pPr>
    </w:p>
    <w:p w14:paraId="242716F5" w14:textId="77777777" w:rsidR="00046642" w:rsidRDefault="00046642" w:rsidP="00046642">
      <w:pPr>
        <w:rPr>
          <w:b/>
          <w:bCs/>
          <w:u w:val="single"/>
        </w:rPr>
      </w:pPr>
    </w:p>
    <w:p w14:paraId="6554539C" w14:textId="14BFFBAF" w:rsidR="00046642" w:rsidRPr="00046642" w:rsidRDefault="00046642" w:rsidP="00046642">
      <w:pPr>
        <w:rPr>
          <w:b/>
          <w:bCs/>
          <w:u w:val="single"/>
        </w:rPr>
      </w:pPr>
      <w:r w:rsidRPr="00046642">
        <w:rPr>
          <w:b/>
          <w:bCs/>
          <w:u w:val="single"/>
        </w:rPr>
        <w:lastRenderedPageBreak/>
        <w:t xml:space="preserve">Why </w:t>
      </w:r>
      <w:proofErr w:type="gramStart"/>
      <w:r w:rsidRPr="00046642">
        <w:rPr>
          <w:b/>
          <w:bCs/>
          <w:u w:val="single"/>
        </w:rPr>
        <w:t>is</w:t>
      </w:r>
      <w:proofErr w:type="gramEnd"/>
      <w:r w:rsidRPr="00046642">
        <w:rPr>
          <w:b/>
          <w:bCs/>
          <w:u w:val="single"/>
        </w:rPr>
        <w:t xml:space="preserve"> a partnership approach the most effective way to reach groups or communities who are less willing to engage with police?</w:t>
      </w:r>
    </w:p>
    <w:p w14:paraId="6F186D46" w14:textId="77777777" w:rsidR="00046642" w:rsidRDefault="00046642" w:rsidP="00046642"/>
    <w:p w14:paraId="1724FBF6" w14:textId="77777777" w:rsidR="00046642" w:rsidRDefault="00046642" w:rsidP="00046642">
      <w:r>
        <w:t xml:space="preserve">Police services across the world, including those in England and Wales face ongoing and complicated difficulties in building trust and rapport with certain communities. Historical incidents, structural inequalities, and repeated negative experiences with the police create scepticism of the police service for these communities. Studies by Weitzer and Touch (2006) deem that this is more evident within marginalised communities, such as black and minority ethnic groups, immigrant communities, and socially disadvantaged groups. Fears regarding discrimination, racial profiling, excessive use of force, and cultural misunderstandings strengthens this mistrust, as these issues do also obstruct important engagement and cooperation (Cashmore, 2002; Chan, 1997). </w:t>
      </w:r>
    </w:p>
    <w:p w14:paraId="00E2C4A4" w14:textId="77777777" w:rsidR="00046642" w:rsidRDefault="00046642" w:rsidP="00046642"/>
    <w:p w14:paraId="169E8ADE" w14:textId="77777777" w:rsidR="00046642" w:rsidRDefault="00046642" w:rsidP="00046642">
      <w:r>
        <w:t>To improve relationships between the police and these communities, police services have developed a partnership approach, which means police collaborate with community organisations, agencies that support diversity, as well as the communities themselves in response to these large challenges. The model, being based on the principles of procedural justice (Tyler, 1990) as well as community policing (</w:t>
      </w:r>
      <w:proofErr w:type="spellStart"/>
      <w:r>
        <w:t>Skogan</w:t>
      </w:r>
      <w:proofErr w:type="spellEnd"/>
      <w:r>
        <w:t>, 2006), seeks to create policing practices that are more inclusive, and supports participation. Trust and legitimacy are far more likely to be rebuilt when communities are actively involved within the shaping of policing practices (Sampson, Raudenbush &amp; Earls, 1997 Myhill, 2012). A partnership approach assists with addressing the root cause of disengagement within communities, including alienation, fear of victimisation, and perception of systematic neglect (Braga et al., 2015).</w:t>
      </w:r>
    </w:p>
    <w:p w14:paraId="5B421E78" w14:textId="77777777" w:rsidR="00046642" w:rsidRDefault="00046642" w:rsidP="00046642"/>
    <w:p w14:paraId="1297D34D" w14:textId="77777777" w:rsidR="00046642" w:rsidRDefault="00046642" w:rsidP="00046642">
      <w:r>
        <w:t>This essay will explore the reasons that certain groups remain reluctant to engage with the police, and will analyse factors such as historical marginalisation, cultural barriers, and negative experiences of policing. This essay will examine how partnership models effectively address these issues when they foster fundamental trust, ensure thorough accountability, and collaboratively solve various problems. This essay will argue that such partnership approaches do indeed represent the most effective and sustainable path toward repairing relationships between police and communities.</w:t>
      </w:r>
    </w:p>
    <w:p w14:paraId="6591E9C4" w14:textId="77777777" w:rsidR="00046642" w:rsidRDefault="00046642" w:rsidP="00046642"/>
    <w:p w14:paraId="29C1F845" w14:textId="77777777" w:rsidR="00046642" w:rsidRDefault="00046642" w:rsidP="00046642">
      <w:r>
        <w:t>Extensive research highlights a variety of the reasons why some communities are reluctant for engagement with the police service. The most prominent point is that systemic discrimination has historically occurred within the police service, which has had a continuing effect on the portrayal of the police service today (Tyler, 2005). As a result of this effect, black and minority ethnic groups perceive the police service as agents of social control and repression rather than a public service. These views are based on lived experiences, and are reinforced by patterns of racial profiling, stop-and-search pra0ctices, over-policing of deprived neighbourhoods, and high-profile police brutality cases (Delgado, 2016; Loftin et al., 1983). Research shows that young black men are subject to disproportionate targeting in United Kingdom, which has heavily contributed in a large way to the deterioration of trust between communities and the police service (Bowling &amp; Phillips, 2007; Miller, 2010).</w:t>
      </w:r>
    </w:p>
    <w:p w14:paraId="115E3068" w14:textId="77777777" w:rsidR="00046642" w:rsidRDefault="00046642" w:rsidP="00046642"/>
    <w:p w14:paraId="6573C83E" w14:textId="77777777" w:rsidR="00046642" w:rsidRDefault="00046642" w:rsidP="00046642">
      <w:r>
        <w:t>In addition to historical discrimination, another common factor affecting the relationship with communities is a fear of reprisal among vulnerable and marginalised populations. Gau and Brunson (2010) dictate that individual in disadvantaged urban areas—such as undocumented immigrants, youths involved in gangs, and victims of domestic abuse may avoid contact with police due to the fear of deportation, retaliation, or being criminalised themselves. Immigrant communities can be difficult to engage with from the perspective of the police service due to their association of police with immigration enforcement, which leads to underreporting of crimes, and further distrust in the police (</w:t>
      </w:r>
      <w:proofErr w:type="spellStart"/>
      <w:r>
        <w:t>Menjívar</w:t>
      </w:r>
      <w:proofErr w:type="spellEnd"/>
      <w:r>
        <w:t xml:space="preserve"> &amp; Bejarano, 2004). Similarly, Ritchie (2012) found that black women experiencing domestic abuse were more likely to under report due to fears that police involvement may exacerbate situations and may bring harm to other family members.</w:t>
      </w:r>
    </w:p>
    <w:p w14:paraId="25D5D0C9" w14:textId="77777777" w:rsidR="00046642" w:rsidRDefault="00046642" w:rsidP="00046642"/>
    <w:p w14:paraId="16B775D4" w14:textId="77777777" w:rsidR="00046642" w:rsidRDefault="00046642" w:rsidP="00046642">
      <w:r>
        <w:t>Another factor which caused disengagement with these communities is the perception that the police service is biased and are ineffective. Many communities report that their reports made to the police, specifically around hate crimes, domestic abuse or anti-social behaviour are not addressed appropriately or are not taken seriously by the police (HMICFRS, 2021). Tyler and Hue (2002) find that when members of the public perceive that their reports are not being addressed or taken seriously, this can undermine public confidence and can reduce the likelihood of cooperation from these communities. Murphy et al. (2008) further states that perceptions of procedural injustice, such as being treated with disrespect or not being listened to, are directly linked to low levels of police legitimacy.</w:t>
      </w:r>
    </w:p>
    <w:p w14:paraId="17301272" w14:textId="77777777" w:rsidR="00046642" w:rsidRDefault="00046642" w:rsidP="00046642"/>
    <w:p w14:paraId="2A405D62" w14:textId="77777777" w:rsidR="00046642" w:rsidRDefault="00046642" w:rsidP="00046642">
      <w:r>
        <w:t>A cultural or linguistic barrier between communities and the police service also contributes towards disengagement, with differences in language, religious beliefs, and cultural practices causing miscommunications and reinforcing perceptions that police are outsiders who do not understand or respect community traditions (Cashmore, 2002; Chan, 1997). Bradford (2014) explains that immigrant communities may have lived negative experiences with police services from other countries where discrimination is perceived as the norm, interpreting any form of authority as a threat. As well as this, a lack of representation of diverse communities, as well as a lack of education within the police service often results in officers being insufficiently equipped in the knowledge required to address the concerns of diverse communities (Loftus, 2009). Overall, the lack of engagement between the police and hard to reach communities is not a reflection of the police service’s ineffectiveness but is instead caused by an extensive and complex history of discrimination and repression, which have had a lasting impact which is seen today.</w:t>
      </w:r>
    </w:p>
    <w:p w14:paraId="024B3466" w14:textId="77777777" w:rsidR="00046642" w:rsidRDefault="00046642" w:rsidP="00046642"/>
    <w:p w14:paraId="1A25DE96" w14:textId="77777777" w:rsidR="00046642" w:rsidRDefault="00046642" w:rsidP="00046642">
      <w:r>
        <w:t xml:space="preserve">A partnership approach, including collaborative work between police and trusted third parties, offers a strategy for overcoming the barriers to engagement that many marginalised communities experience with the police service. Unlike traditional models of policing that often rely on reactive and enforcement-led responses, partnership policing emphasises proactive, relationship-based engagement. Procedural Justice Theory, as developed by Tyler (1990) supports this, and determines that individuals are far more likely to engage with authorities and are more likely to comply if the authorities are perceived as fair, legitimate and unbiased. </w:t>
      </w:r>
      <w:r>
        <w:lastRenderedPageBreak/>
        <w:t xml:space="preserve">Sunshine and Tyler (2003) reinforce this, outlining the importance on perceived fairness and impartiality in boosting engagement with marginalised communities. </w:t>
      </w:r>
    </w:p>
    <w:p w14:paraId="39D8D672" w14:textId="77777777" w:rsidR="00046642" w:rsidRDefault="00046642" w:rsidP="00046642"/>
    <w:p w14:paraId="4EA79580" w14:textId="77777777" w:rsidR="00046642" w:rsidRDefault="00046642" w:rsidP="00046642">
      <w:r>
        <w:t>Firstly, partnerships facilitate trust-building through intermediaries, which are developed by community organisations, youth workers, religious institutions and local leaders. These people understand the same experiences that individuals of the marginalised communities go through and are perceived as culturally educated and competent. Weisburd and Eck (2004) find that the collaboration with these intermediaries can assist with gaining access to these groups that are otherwise reluctant to engage. The Boston Ceasefire project involved police in the United States working with multiple community leaders. Such groups would engage with several young people at risk of gang involvement. This project was found to be successful as it had reduced violence while it also improved the way that people perceive police service (Kennedy, 2011; Corsaro &amp; McGarrell, 2009). Similarly, the Glasgow Violence Reduction Unit of Scotland collaborated alongside health, education, and community organisations for reframing violence as one public health issue, resulting in a reduction in violent crime and promoting trust throughout police efforts (Deuchar, 2013; Scottish Government, 2012).</w:t>
      </w:r>
    </w:p>
    <w:p w14:paraId="0E1F3149" w14:textId="77777777" w:rsidR="00046642" w:rsidRDefault="00046642" w:rsidP="00046642"/>
    <w:p w14:paraId="5DB27291" w14:textId="77777777" w:rsidR="00046642" w:rsidRDefault="00046642" w:rsidP="00046642">
      <w:r>
        <w:t>Secondly, a partnership approach supports the co-ordination of public safety strategies, altering the perception of authority and control, and instead allowing communities to have an influence in the way they are policed (</w:t>
      </w:r>
      <w:proofErr w:type="spellStart"/>
      <w:r>
        <w:t>Skogan</w:t>
      </w:r>
      <w:proofErr w:type="spellEnd"/>
      <w:r>
        <w:t>, 2006). Rather than individually imposing solutions without the contribution of these communities, a partnership approach allows for the views of marginalised communities to be heard and considered within the development of solutions (Loader, 1996). This process empowers and reinforces third parties who represent these marginalised communities, who have historically had their views and concerns disregarded. Innes and Roberts (2008) find that partnership policing initiatives tend to have a long-term impact, and a positive effect on the perception of police legitimacy due to the involvement that these communities have had in the way the police service approach their concerns.</w:t>
      </w:r>
    </w:p>
    <w:p w14:paraId="21E21598" w14:textId="77777777" w:rsidR="00046642" w:rsidRDefault="00046642" w:rsidP="00046642"/>
    <w:p w14:paraId="796337CA" w14:textId="77777777" w:rsidR="00046642" w:rsidRDefault="00046642" w:rsidP="00046642">
      <w:r>
        <w:t>Furthermore, partnerships foster shared accountability whenever communities monitor, assess, as well as oversee police practices (Crawford, 1997). A degree of transparency is promoted by such mechanisms as community advisory boards, independent scrutiny panels and restorative justice forums, which also act to ensure police accountability to the communities that they serve (Walker, 2001). Additionally, partnerships improve operational effectiveness in cases where they contribute local knowledge, cultural comprehension, and information so police services have a better understanding of under-reported issues. Communities are more likely to share information and participate in the consultations when they feel respected and empowered (Myhill, 2012) and are more likely to support policing initiatives in contributing to collective safety (Brown, 2007). This two-way relationship not only legitimises the police (Tyler, 2005) but also additionally improves outcomes when police act on violence, intervene in mental health crises, as well as respond to domestic abuse (Mazerolle et al., 2013; Cordner, 2010).</w:t>
      </w:r>
    </w:p>
    <w:p w14:paraId="6E603CD6" w14:textId="77777777" w:rsidR="00046642" w:rsidRDefault="00046642" w:rsidP="00046642"/>
    <w:p w14:paraId="7D0AD2B4" w14:textId="77777777" w:rsidR="00046642" w:rsidRDefault="00046642" w:rsidP="00046642">
      <w:r>
        <w:lastRenderedPageBreak/>
        <w:t>Finally, in cases when police visibly collaborate alongside trusted partners, this helps humanise officers, as well as counteract negative stereotypes. Police services, when perceived to be operating in conjunction alongside recognised and highly respected community organisations, confronts current narratives that often depict police as discriminatory and oppressive (Murphy &amp; Cherney, 2011). This then contributes to greater procedural justice, as communities begin to view police actions addressing community values and priorities (</w:t>
      </w:r>
      <w:proofErr w:type="spellStart"/>
      <w:r>
        <w:t>Tankebe</w:t>
      </w:r>
      <w:proofErr w:type="spellEnd"/>
      <w:r>
        <w:t>, 2009).</w:t>
      </w:r>
    </w:p>
    <w:p w14:paraId="23423210" w14:textId="77777777" w:rsidR="00046642" w:rsidRDefault="00046642" w:rsidP="00046642"/>
    <w:p w14:paraId="3D874E3A" w14:textId="77777777" w:rsidR="00046642" w:rsidRDefault="00046642" w:rsidP="00046642">
      <w:r>
        <w:t>The Macpherson Report, published in 1999 was significant in reshaping the way that police engage with marginalised communities in England and Wales. The report was commissioned following the murder of Stephen Lawrence due to racial motivations, and the subsequent failings in the investigation by the Metropolitan Police. The report identified systemic failures, as well as institutional racism; defined within the report as a collective failure of an organisation to provide fair and professional service due to race, culture or ethnicity (</w:t>
      </w:r>
      <w:proofErr w:type="spellStart"/>
      <w:r>
        <w:t>Machpherson</w:t>
      </w:r>
      <w:proofErr w:type="spellEnd"/>
      <w:r>
        <w:t xml:space="preserve">, 1999). The publication of this report is considered a landmark within policing, and revealed that discriminatory practices, operational bias, and cultural insensitivity had deeply eroded trust between police and black and minority ethnic communities (Foster et al., 2005; Rowe, 2004). The report produced 70 recommendations, centred around accountability, transparency and community involvement, which set out the framework for a partnership approach within policing. The main proposals set out within the report included the implementation of community consultation mechanisms, the creation of independent advisory groups, mandatory diversity training for all officers, and the recruitment of more officers from underrepresented groups (Holdaway &amp; O'Neill, 2007). These recommendations support the findings of previously mentioned studies and foreshadows the findings of the procedural justice theory (Tyler, 2005). Some critics argue that the implementation of the recommendations published within the Macpherson report has been inconsistent within police services, but despite this, the report remains to be foundational to understanding the necessity of a partnership approach in overcoming barriers in engagement between hard-to-reach communities and the police service. </w:t>
      </w:r>
    </w:p>
    <w:p w14:paraId="0AD0ECAD" w14:textId="77777777" w:rsidR="00046642" w:rsidRDefault="00046642" w:rsidP="00046642"/>
    <w:p w14:paraId="0C146804" w14:textId="77777777" w:rsidR="00046642" w:rsidRDefault="00046642" w:rsidP="00046642">
      <w:r>
        <w:t>The Police Race Action Plan (2022) was introduced by the National Police Chiefs' Council and the College of Policing to address systemic racial inequalities within UK policing, particularly regarding the treatment of black and minority ethnic communities. The plan's four core pillars; identity, legitimacy, accountability and engagement, focus on reducing racial disparities as well as on promoting fairer recruitment and retention policies. Further the Police Race Action Plan set out to improve general police practices when encountering members of the public, such as stop and search powers, which also strengthen and supports the procedural justice theory (Bradford, 2014). Critics such as Amnesty International UK (2022) and the Runnymede Trust (2022), argue that the plan lacks enforceable measures and independent oversight, so it sparks worries about its long-term effectiveness. Despite these criticisms, the plan represents a step toward the implementation of partnership-based strategies, with the aim of meaningful reform and of greater community involvement in policing (College of Policing, 2022; Shiner et al., 2018).</w:t>
      </w:r>
    </w:p>
    <w:p w14:paraId="05E719A7" w14:textId="77777777" w:rsidR="00046642" w:rsidRDefault="00046642" w:rsidP="00046642"/>
    <w:p w14:paraId="0DCFD7FD" w14:textId="77777777" w:rsidR="00046642" w:rsidRDefault="00046642" w:rsidP="00046642">
      <w:r>
        <w:t xml:space="preserve">In conclusion, the challenges in the building of trust and cooperation between police and marginalised communities are deeply rooted in historical discrimination, negative experiences, and cultural barriers. Overcoming each of these barriers can be possible by way of a partnership </w:t>
      </w:r>
      <w:r>
        <w:lastRenderedPageBreak/>
        <w:t>approach for policing, however. Police can rebuild trust, and engagement can be improved to be fairer, more transparent and more inclusive. Policing practices can be improved by collaborating with community organisations and local leaders and with other trusted intermediaries. Perceived legitimacy as well as fairness are of large importance alongside communities' active involvement in influencing certain public safety strategies. The principles of procedural justice as well as community policing do underscore this importance. Despite criticisms regarding the effectiveness of certain reforms, including the Police Race Action Plan and the recommendations as are set out by the Macpherson Report, these initiatives do mark an important step forward in addressing racial inequalities that are within policing. Fundamentally, a collaborative approach is needed for improving police-community relationships and for the creation of a more transparent policing system.</w:t>
      </w:r>
    </w:p>
    <w:p w14:paraId="799DC0D9" w14:textId="77777777" w:rsidR="00046642" w:rsidRDefault="00046642" w:rsidP="00046642"/>
    <w:p w14:paraId="4FB39ACB" w14:textId="33FC5106" w:rsidR="00046642" w:rsidRPr="00046642" w:rsidRDefault="00046642" w:rsidP="00046642">
      <w:pPr>
        <w:rPr>
          <w:b/>
          <w:bCs/>
        </w:rPr>
      </w:pPr>
      <w:r w:rsidRPr="00046642">
        <w:rPr>
          <w:b/>
          <w:bCs/>
        </w:rPr>
        <w:t>Words 1975</w:t>
      </w:r>
    </w:p>
    <w:p w14:paraId="2E47D260" w14:textId="77777777" w:rsidR="00046642" w:rsidRDefault="00046642"/>
    <w:p w14:paraId="3B3F68D7" w14:textId="77777777" w:rsidR="00046642" w:rsidRPr="00046642" w:rsidRDefault="00046642" w:rsidP="00046642"/>
    <w:p w14:paraId="159BC220" w14:textId="77777777" w:rsidR="00046642" w:rsidRPr="00046642" w:rsidRDefault="00046642" w:rsidP="00046642"/>
    <w:p w14:paraId="3FE4886C" w14:textId="77777777" w:rsidR="00046642" w:rsidRPr="00046642" w:rsidRDefault="00046642" w:rsidP="00046642"/>
    <w:p w14:paraId="20BCE113" w14:textId="77777777" w:rsidR="00046642" w:rsidRPr="00046642" w:rsidRDefault="00046642" w:rsidP="00046642"/>
    <w:p w14:paraId="45A7CC41" w14:textId="77777777" w:rsidR="00046642" w:rsidRPr="00046642" w:rsidRDefault="00046642" w:rsidP="00046642"/>
    <w:p w14:paraId="11241151" w14:textId="77777777" w:rsidR="00046642" w:rsidRPr="00046642" w:rsidRDefault="00046642" w:rsidP="00046642"/>
    <w:p w14:paraId="6BBFD995" w14:textId="77777777" w:rsidR="00046642" w:rsidRPr="00046642" w:rsidRDefault="00046642" w:rsidP="00046642"/>
    <w:p w14:paraId="56F8CDC0" w14:textId="77777777" w:rsidR="00046642" w:rsidRPr="00046642" w:rsidRDefault="00046642" w:rsidP="00046642"/>
    <w:p w14:paraId="11CD9332" w14:textId="77777777" w:rsidR="00046642" w:rsidRPr="00046642" w:rsidRDefault="00046642" w:rsidP="00046642"/>
    <w:p w14:paraId="5EC1B0F6" w14:textId="77777777" w:rsidR="00046642" w:rsidRPr="00046642" w:rsidRDefault="00046642" w:rsidP="00046642"/>
    <w:p w14:paraId="16D21A12" w14:textId="77777777" w:rsidR="00046642" w:rsidRPr="00046642" w:rsidRDefault="00046642" w:rsidP="00046642"/>
    <w:p w14:paraId="267088F2" w14:textId="77777777" w:rsidR="00046642" w:rsidRPr="00046642" w:rsidRDefault="00046642" w:rsidP="00046642"/>
    <w:p w14:paraId="000C7A8F" w14:textId="77777777" w:rsidR="00046642" w:rsidRPr="00046642" w:rsidRDefault="00046642" w:rsidP="00046642"/>
    <w:p w14:paraId="4BEB1DEB" w14:textId="77777777" w:rsidR="00046642" w:rsidRPr="00046642" w:rsidRDefault="00046642" w:rsidP="00046642"/>
    <w:p w14:paraId="730DC486" w14:textId="77777777" w:rsidR="00046642" w:rsidRPr="00046642" w:rsidRDefault="00046642" w:rsidP="00046642"/>
    <w:p w14:paraId="1B26926B" w14:textId="77777777" w:rsidR="00046642" w:rsidRDefault="00046642" w:rsidP="00046642"/>
    <w:p w14:paraId="7550AA4A" w14:textId="77777777" w:rsidR="00046642" w:rsidRDefault="00046642" w:rsidP="00046642">
      <w:pPr>
        <w:ind w:firstLine="720"/>
      </w:pPr>
    </w:p>
    <w:p w14:paraId="043A87F4" w14:textId="77777777" w:rsidR="00046642" w:rsidRDefault="00046642" w:rsidP="00046642">
      <w:pPr>
        <w:ind w:firstLine="720"/>
      </w:pPr>
    </w:p>
    <w:p w14:paraId="0B74B1AC" w14:textId="77777777" w:rsidR="00046642" w:rsidRDefault="00046642" w:rsidP="00046642">
      <w:pPr>
        <w:ind w:firstLine="720"/>
      </w:pPr>
    </w:p>
    <w:p w14:paraId="1A5B63B9" w14:textId="77777777" w:rsidR="002F4F9C" w:rsidRDefault="002F4F9C" w:rsidP="002F4F9C"/>
    <w:p w14:paraId="588EBFE9" w14:textId="623B5C93" w:rsidR="00046642" w:rsidRPr="00046642" w:rsidRDefault="00046642" w:rsidP="002F4F9C">
      <w:pPr>
        <w:rPr>
          <w:b/>
          <w:bCs/>
          <w:u w:val="single"/>
        </w:rPr>
      </w:pPr>
      <w:r w:rsidRPr="00046642">
        <w:rPr>
          <w:b/>
          <w:bCs/>
          <w:u w:val="single"/>
        </w:rPr>
        <w:lastRenderedPageBreak/>
        <w:t>References</w:t>
      </w:r>
    </w:p>
    <w:p w14:paraId="54B45F57" w14:textId="77777777" w:rsidR="00494863" w:rsidRDefault="00494863" w:rsidP="00046642">
      <w:pPr>
        <w:ind w:firstLine="720"/>
      </w:pPr>
    </w:p>
    <w:p w14:paraId="26BA6300" w14:textId="77777777" w:rsidR="00494863" w:rsidRDefault="00494863" w:rsidP="002E6695">
      <w:r>
        <w:t>Anderson, D. (2017) Attacks in London and Manchester: Independent Assessment. London: Home Office.</w:t>
      </w:r>
    </w:p>
    <w:p w14:paraId="5774BB09" w14:textId="77777777" w:rsidR="00494863" w:rsidRDefault="00494863" w:rsidP="002E6695">
      <w:r>
        <w:t>Ariel, B., Farrar, W.A. and Sutherland, A. (2017) 'The Effect of Police Body-Worn Cameras on Use of Force and Citizens' Complaints Against the Police: A Randomized Controlled Trial', Journal of Quantitative Criminology, 31(3), pp. 509–535.</w:t>
      </w:r>
    </w:p>
    <w:p w14:paraId="34381F6A" w14:textId="77777777" w:rsidR="00494863" w:rsidRDefault="00494863" w:rsidP="002E6695">
      <w:r>
        <w:t>Awan, I. (2012) '“I Am a Muslim Not an Extremist”: How the Prevent Strategy Has Constructed a “Suspect” Community', Politics &amp; Policy, 40(6), pp. 1158–1185.</w:t>
      </w:r>
    </w:p>
    <w:p w14:paraId="6819E27F" w14:textId="77777777" w:rsidR="00494863" w:rsidRDefault="00494863" w:rsidP="00046642">
      <w:r>
        <w:t>Bradford, B., 2014. Police legitimacy and public cooperation with the police: Examining the impacts of procedural justice theory in policing. Oxford University Press.</w:t>
      </w:r>
    </w:p>
    <w:p w14:paraId="44131CCB" w14:textId="77777777" w:rsidR="00494863" w:rsidRDefault="00494863" w:rsidP="00046642">
      <w:r>
        <w:t>Braga, A.A., Papachristos, A.V. and Hureau, D.M., 2015. The effects of hot spots policing on crime: A systematic review of the evidence. Journal of Experimental Criminology, 11(2), pp. 191-210.</w:t>
      </w:r>
    </w:p>
    <w:p w14:paraId="2C447ED9" w14:textId="77777777" w:rsidR="00494863" w:rsidRDefault="00494863" w:rsidP="00046642">
      <w:r>
        <w:t>Brown, B., 2007. Community policing and public safety: The power of community engagement. Oxford: Clarendon Press.</w:t>
      </w:r>
    </w:p>
    <w:p w14:paraId="5AC32246" w14:textId="77777777" w:rsidR="00494863" w:rsidRDefault="00494863" w:rsidP="002E6695">
      <w:r>
        <w:t>Brown, J. (2021) Race, Policing and Social Justice: Insights Post-George Floyd. London: Routledge.</w:t>
      </w:r>
    </w:p>
    <w:p w14:paraId="0B06B04C" w14:textId="77777777" w:rsidR="00494863" w:rsidRDefault="00494863" w:rsidP="002E6695">
      <w:r>
        <w:t>Cabinet Office (2012) Responding to Emergencies: The UK Central Government Response Concept of Operations (CONOPS). London: Cabinet Office.</w:t>
      </w:r>
    </w:p>
    <w:p w14:paraId="1AA6176C" w14:textId="77777777" w:rsidR="00494863" w:rsidRDefault="00494863" w:rsidP="00046642">
      <w:r>
        <w:t>Cashmore, E., 2002. Race, class, and crime: The relationship between race, ethnicity, and crime in society. Routledge.</w:t>
      </w:r>
    </w:p>
    <w:p w14:paraId="70DD4C78" w14:textId="77777777" w:rsidR="00494863" w:rsidRDefault="00494863" w:rsidP="00046642">
      <w:r>
        <w:t>Chan, J., 1997. Policing in a multicultural society: A review of the literature. Cambridge University Press.</w:t>
      </w:r>
    </w:p>
    <w:p w14:paraId="74CB874F" w14:textId="77777777" w:rsidR="00494863" w:rsidRDefault="00494863" w:rsidP="002E6695">
      <w:r>
        <w:t>College of Policing (2020) Bleed Control Kits and Trauma Training for Officers. Coventry: College of Policing.</w:t>
      </w:r>
    </w:p>
    <w:p w14:paraId="3F12DB4F" w14:textId="77777777" w:rsidR="00494863" w:rsidRDefault="00494863" w:rsidP="00046642">
      <w:r>
        <w:t>College of Policing, 2022. Police Race Action Plan. Available at: https://www.college.police.uk [Accessed 24 April 2025].</w:t>
      </w:r>
    </w:p>
    <w:p w14:paraId="5174380B" w14:textId="77777777" w:rsidR="00494863" w:rsidRDefault="00494863" w:rsidP="00046642">
      <w:r>
        <w:t>Cordner, G., 2010. Community policing: A contemporary perspective. Pearson Prentice Hall.</w:t>
      </w:r>
    </w:p>
    <w:p w14:paraId="7296EFBC" w14:textId="77777777" w:rsidR="00494863" w:rsidRDefault="00494863" w:rsidP="00046642">
      <w:r>
        <w:t>Corsaro, N., and McGarrell, E., 2009. Evaluating the effectiveness of the Boston Ceasefire project. Journal of Research in Crime and Delinquency, 46(3), pp. 321-347.</w:t>
      </w:r>
    </w:p>
    <w:p w14:paraId="2377F529" w14:textId="77777777" w:rsidR="00494863" w:rsidRDefault="00494863" w:rsidP="00046642">
      <w:r>
        <w:t>Crawford, A., 1997. The role of community policing in preventing crime and promoting public safety. Oxford University Press.</w:t>
      </w:r>
    </w:p>
    <w:p w14:paraId="4C04F518" w14:textId="77777777" w:rsidR="00494863" w:rsidRDefault="00494863" w:rsidP="00046642">
      <w:r>
        <w:t>Delgado, R., 2016. Critical race theory: An introduction. New York University Press.</w:t>
      </w:r>
    </w:p>
    <w:p w14:paraId="753B7354" w14:textId="77777777" w:rsidR="00494863" w:rsidRDefault="00494863" w:rsidP="00046642">
      <w:r>
        <w:t>Deuchar, R., 2013. Policing youth violence and social exclusion in the Glasgow Violence Reduction Unit. University of Glasgow Press.</w:t>
      </w:r>
    </w:p>
    <w:p w14:paraId="04C46703" w14:textId="77777777" w:rsidR="00494863" w:rsidRDefault="00494863" w:rsidP="002E6695">
      <w:r>
        <w:lastRenderedPageBreak/>
        <w:t>Fahy, R., Walker, A. and O’Connor, M. (2019) 'Grenfell Tower Fire: Lessons in Crisis Communications', Journal of Contingencies and Crisis Management, 27(1), pp. 82–87.</w:t>
      </w:r>
    </w:p>
    <w:p w14:paraId="7DB09D8D" w14:textId="77777777" w:rsidR="00494863" w:rsidRDefault="00494863" w:rsidP="00046642">
      <w:r>
        <w:t>Foster, J., Rowe, M., and Chigwada-Bailey, R., 2005. Race, ethnicity, and policing in the UK: The Stephen Lawrence Inquiry and beyond. Policy Press.</w:t>
      </w:r>
    </w:p>
    <w:p w14:paraId="7B9924A7" w14:textId="77777777" w:rsidR="00494863" w:rsidRDefault="00494863" w:rsidP="00046642">
      <w:r>
        <w:t>Gau, J.M., and Brunson, R.K., 2010. Young African Americans' perceptions of police officers: The impact of police officer characteristics on perceptions of legitimacy. Journal of Criminal Justice, 38(4), pp. 1023-1032.</w:t>
      </w:r>
    </w:p>
    <w:p w14:paraId="3D201361" w14:textId="77777777" w:rsidR="00494863" w:rsidRDefault="00494863" w:rsidP="002E6695">
      <w:r>
        <w:t>Graham, J., Davies, J. and Thomas, M. (2020) 'Trauma-Informed Policing: Principles and Practice', Police Journal: Theory, Practice and Principles, 93(2), pp. 137–154.</w:t>
      </w:r>
    </w:p>
    <w:p w14:paraId="12943BB2" w14:textId="77777777" w:rsidR="00494863" w:rsidRDefault="00494863" w:rsidP="002E6695">
      <w:r>
        <w:t>Her Majesty’s Inspectorate of Constabulary and Fire &amp; Rescue Services (HMICFRS) (2015) Joint Inspection of the JESIP Programme. London: HMICFRS.</w:t>
      </w:r>
    </w:p>
    <w:p w14:paraId="5BC2CBC4" w14:textId="77777777" w:rsidR="00494863" w:rsidRDefault="00494863" w:rsidP="002E6695">
      <w:r>
        <w:t>Her Majesty’s Inspectorate of Constabulary and Fire &amp; Rescue Services (HMICFRS) (2019) Public Perceptions of Policing: Survey Results. London: HMICFRS.</w:t>
      </w:r>
    </w:p>
    <w:p w14:paraId="5B100F91" w14:textId="77777777" w:rsidR="00494863" w:rsidRDefault="00494863" w:rsidP="002E6695">
      <w:r>
        <w:t>Her Majesty’s Inspectorate of Constabulary and Fire &amp; Rescue Services (HMICFRS) (2020) State of Policing: Annual Assessment of Policing in England and Wales 2020. London: HMICFRS.</w:t>
      </w:r>
    </w:p>
    <w:p w14:paraId="12322710" w14:textId="77777777" w:rsidR="00494863" w:rsidRDefault="00494863" w:rsidP="002E6695">
      <w:r>
        <w:t>HM Government (2021) CONTEST: The United Kingdom’s Strategy for Countering Terrorism. London: HM Government.</w:t>
      </w:r>
    </w:p>
    <w:p w14:paraId="29114E2E" w14:textId="77777777" w:rsidR="00494863" w:rsidRDefault="00494863" w:rsidP="00046642">
      <w:r>
        <w:t>HMICFRS, 2021. Policing in the UK: The state of policing. Her Majesty's Inspectorate of Constabulary and Fire &amp; Rescue Services.</w:t>
      </w:r>
    </w:p>
    <w:p w14:paraId="17F10B7D" w14:textId="77777777" w:rsidR="00494863" w:rsidRDefault="00494863" w:rsidP="00046642">
      <w:r>
        <w:t>Holdaway, S., and O'Neill, M., 2007. Policing and race: Past and present. Oxford University Press.</w:t>
      </w:r>
    </w:p>
    <w:p w14:paraId="1552668C" w14:textId="77777777" w:rsidR="00494863" w:rsidRDefault="00494863" w:rsidP="002E6695">
      <w:r>
        <w:t>Home Office (2013) The Joint Emergency Services Interoperability Principles (JESIP): Joint Doctrine. London: Home Office.</w:t>
      </w:r>
    </w:p>
    <w:p w14:paraId="1534BBD0" w14:textId="77777777" w:rsidR="00494863" w:rsidRDefault="00494863" w:rsidP="002E6695">
      <w:r>
        <w:t>Home Office (2016) JESIP Joint Doctrine: The Interoperability Framework (Second Edition). London: Home Office.</w:t>
      </w:r>
    </w:p>
    <w:p w14:paraId="2315E1D2" w14:textId="77777777" w:rsidR="00494863" w:rsidRDefault="00494863" w:rsidP="002E6695">
      <w:r>
        <w:t>Home Office (2019) Hot Debriefs: Capturing Lessons from Critical Incidents. London: Home Office.</w:t>
      </w:r>
    </w:p>
    <w:p w14:paraId="1985052A" w14:textId="77777777" w:rsidR="00494863" w:rsidRDefault="00494863" w:rsidP="002E6695">
      <w:r>
        <w:t>Innes, M. (2020) Community Policing and Counterterrorism: New Directions. London: Palgrave Macmillan.</w:t>
      </w:r>
    </w:p>
    <w:p w14:paraId="1F23E7DD" w14:textId="77777777" w:rsidR="00494863" w:rsidRDefault="00494863" w:rsidP="002E6695">
      <w:r>
        <w:t>Innes, M. and Thiel, D. (2008) 'Policing Terror: The Genesis of a National Security Approach', Police Practice and Research, 9(4), pp. 347–362.</w:t>
      </w:r>
    </w:p>
    <w:p w14:paraId="3F82C753" w14:textId="77777777" w:rsidR="00494863" w:rsidRDefault="00494863" w:rsidP="00046642">
      <w:r>
        <w:t>Innes, M., and Roberts, C., 2008. Public opinion and police legitimacy: The role of police legitimacy in crime control and community engagement. Policing: A Journal of Policy and Practice, 2(3), pp. 347-356.</w:t>
      </w:r>
    </w:p>
    <w:p w14:paraId="1725A448" w14:textId="77777777" w:rsidR="00494863" w:rsidRDefault="00494863" w:rsidP="002E6695">
      <w:r>
        <w:t xml:space="preserve">Intelligence and Security Committee (ISC) (2018) The 2017 Attacks: What Needs to </w:t>
      </w:r>
      <w:proofErr w:type="gramStart"/>
      <w:r>
        <w:t>Change?.</w:t>
      </w:r>
      <w:proofErr w:type="gramEnd"/>
      <w:r>
        <w:t xml:space="preserve"> London: ISC.</w:t>
      </w:r>
    </w:p>
    <w:p w14:paraId="1A1C0B91" w14:textId="77777777" w:rsidR="00494863" w:rsidRDefault="00494863" w:rsidP="002E6695">
      <w:r>
        <w:t>Joint Emergency Services Interoperability Principles (JESIP) (2013) JESIP Principles for Joint Working. London: JESIP.</w:t>
      </w:r>
    </w:p>
    <w:p w14:paraId="40F47000" w14:textId="77777777" w:rsidR="00494863" w:rsidRDefault="00494863" w:rsidP="002E6695">
      <w:r>
        <w:lastRenderedPageBreak/>
        <w:t>Kahn, K.B., Goff, P.A. and Glaser, J. (2017) 'Protecting Whiteness: White Identity Threat and Defensive Investments in Racial Hierarchy', Social Psychological and Personality Science, 8(6), pp. 595–603.</w:t>
      </w:r>
    </w:p>
    <w:p w14:paraId="7C797DEC" w14:textId="77777777" w:rsidR="00494863" w:rsidRDefault="00494863" w:rsidP="00046642">
      <w:r>
        <w:t>Kennedy, D.M., 2011. The Boston Ceasefire project: Results and lessons learned. National Institute of Justice.</w:t>
      </w:r>
    </w:p>
    <w:p w14:paraId="5BE0C357" w14:textId="77777777" w:rsidR="00494863" w:rsidRDefault="00494863" w:rsidP="002E6695">
      <w:r>
        <w:t>Kerslake, B. (2018) The Kerslake Report: An Independent Review into the Preparedness for, and Emergency Response to, the Manchester Arena Attack on 22 May 2017. Manchester: Greater Manchester Combined Authority.</w:t>
      </w:r>
    </w:p>
    <w:p w14:paraId="58B2BD24" w14:textId="77777777" w:rsidR="00494863" w:rsidRDefault="00494863" w:rsidP="00046642">
      <w:r>
        <w:t>Loader, I., 1996. Policing and social change: The role of police in modern society. Clarendon Press.</w:t>
      </w:r>
    </w:p>
    <w:p w14:paraId="5C0EF46E" w14:textId="77777777" w:rsidR="00494863" w:rsidRDefault="00494863" w:rsidP="00046642">
      <w:r>
        <w:t>Loftin, C., et al., 1983. Racial disparities in police arrests: Understanding the dynamics of race and policing. American Sociological Review, 48(3), pp. 326-336.</w:t>
      </w:r>
    </w:p>
    <w:p w14:paraId="44C3FE72" w14:textId="77777777" w:rsidR="00494863" w:rsidRDefault="00494863" w:rsidP="00046642">
      <w:r>
        <w:t>Loftus, B., 2009. Police culture in a changing world. Oxford University Press.</w:t>
      </w:r>
    </w:p>
    <w:p w14:paraId="2E053721" w14:textId="77777777" w:rsidR="00494863" w:rsidRDefault="00494863" w:rsidP="002E6695">
      <w:r>
        <w:t>London Assembly (2006) Report of the 7 July Review Committee. London: Greater London Authority.</w:t>
      </w:r>
    </w:p>
    <w:p w14:paraId="1920AD0E" w14:textId="77777777" w:rsidR="00494863" w:rsidRDefault="00494863" w:rsidP="002E6695">
      <w:r>
        <w:t>Lum, C., Stoltz, M., Koper, C.S. and Scherer, J.A. (2019) 'Research on Body-Worn Cameras: What We Know, What We Need to Know', Criminology &amp; Public Policy, 18(1), pp. 93–118.</w:t>
      </w:r>
    </w:p>
    <w:p w14:paraId="159BB12E" w14:textId="77777777" w:rsidR="00494863" w:rsidRDefault="00494863" w:rsidP="00046642">
      <w:r>
        <w:t>Macpherson, W., 1999. The Stephen Lawrence Inquiry: Report of an inquiry by Sir William Macpherson of Cluny. The Stationery Office.</w:t>
      </w:r>
    </w:p>
    <w:p w14:paraId="10E8E2F1" w14:textId="77777777" w:rsidR="00494863" w:rsidRDefault="00494863" w:rsidP="00046642">
      <w:r>
        <w:t>Mazerolle, L., et al., 2013. The effectiveness of community policing in reducing crime and disorder. Justice Quarterly, 30(4), pp. 641-668.</w:t>
      </w:r>
    </w:p>
    <w:p w14:paraId="5156F7FD" w14:textId="77777777" w:rsidR="00494863" w:rsidRDefault="00494863" w:rsidP="00046642">
      <w:proofErr w:type="spellStart"/>
      <w:r>
        <w:t>Menjívar</w:t>
      </w:r>
      <w:proofErr w:type="spellEnd"/>
      <w:r>
        <w:t>, C., and Bejarano, C., 2004. The immigrant police: Immigration enforcement and its consequences. Social Problems, 51(4), pp. 1-20.</w:t>
      </w:r>
    </w:p>
    <w:p w14:paraId="107486D8" w14:textId="77777777" w:rsidR="00494863" w:rsidRDefault="00494863" w:rsidP="00046642">
      <w:r>
        <w:t>Miller, J., 2010. The racial targeting of black men in the UK: A socio-political analysis. Policing: A Journal of Policy and Practice, 4(2), pp. 232-247.</w:t>
      </w:r>
    </w:p>
    <w:p w14:paraId="6165CF74" w14:textId="77777777" w:rsidR="00494863" w:rsidRDefault="00494863" w:rsidP="002E6695">
      <w:r>
        <w:t>Moore-Bick, M. (2019) The Grenfell Tower Inquiry: Phase 1 Report. London: Grenfell Tower Inquiry.</w:t>
      </w:r>
    </w:p>
    <w:p w14:paraId="19D47DD1" w14:textId="77777777" w:rsidR="00494863" w:rsidRDefault="00494863" w:rsidP="00046642">
      <w:r>
        <w:t>Murphy, K., and Cherney, A., 2011. Building police legitimacy in diverse communities: A focus on procedural justice. Journal of Criminology, 44(4), pp. 1-17.</w:t>
      </w:r>
    </w:p>
    <w:p w14:paraId="07EB8B41" w14:textId="77777777" w:rsidR="00494863" w:rsidRDefault="00494863" w:rsidP="00046642">
      <w:r>
        <w:t xml:space="preserve">Myhill, A., 2012. Community engagement in policing: How do we improve police </w:t>
      </w:r>
      <w:proofErr w:type="gramStart"/>
      <w:r>
        <w:t>legitimacy?.</w:t>
      </w:r>
      <w:proofErr w:type="gramEnd"/>
      <w:r>
        <w:t xml:space="preserve"> Policing and Society, 22(4), pp. 350-366.</w:t>
      </w:r>
    </w:p>
    <w:p w14:paraId="7249E54C" w14:textId="77777777" w:rsidR="00494863" w:rsidRDefault="00494863" w:rsidP="002E6695">
      <w:r>
        <w:t xml:space="preserve">Mythen, G., </w:t>
      </w:r>
      <w:proofErr w:type="spellStart"/>
      <w:r>
        <w:t>Walklate</w:t>
      </w:r>
      <w:proofErr w:type="spellEnd"/>
      <w:r>
        <w:t xml:space="preserve">, S. and Khan, F. (2013) 'Why Should We Have to Prove We’re </w:t>
      </w:r>
      <w:proofErr w:type="gramStart"/>
      <w:r>
        <w:t>Alright?:</w:t>
      </w:r>
      <w:proofErr w:type="gramEnd"/>
      <w:r>
        <w:t xml:space="preserve"> </w:t>
      </w:r>
      <w:proofErr w:type="gramStart"/>
      <w:r>
        <w:t>Counter-Terrorism</w:t>
      </w:r>
      <w:proofErr w:type="gramEnd"/>
      <w:r>
        <w:t>, Risk and Partial Securities', Sociology, 47(2), pp. 383–398.</w:t>
      </w:r>
    </w:p>
    <w:p w14:paraId="17EE86A7" w14:textId="77777777" w:rsidR="00494863" w:rsidRDefault="00494863" w:rsidP="002E6695">
      <w:r>
        <w:t>Pantazis, C. and Pemberton, S. (2009) 'From the “Old” to the “New” Suspect Community: Examining the Impacts of Recent UK Counter-Terrorist Legislation', British Journal of Criminology, 49(5), pp. 646–666.</w:t>
      </w:r>
    </w:p>
    <w:p w14:paraId="34B079D4" w14:textId="77777777" w:rsidR="00494863" w:rsidRDefault="00494863" w:rsidP="002E6695">
      <w:r>
        <w:t>Pollock, K. (2013) 'Interoperability: A Continuing Challenge for UK Emergency Services', Journal of Contingencies and Crisis Management, 21(3), pp. 113–115.</w:t>
      </w:r>
    </w:p>
    <w:p w14:paraId="713E8697" w14:textId="77777777" w:rsidR="00494863" w:rsidRDefault="00494863" w:rsidP="002E6695">
      <w:r>
        <w:lastRenderedPageBreak/>
        <w:t>Ratcliffe, J.H. (2016) Intelligence-Led Policing (2nd Edition). London: Routledge.</w:t>
      </w:r>
    </w:p>
    <w:p w14:paraId="06BE4120" w14:textId="77777777" w:rsidR="00494863" w:rsidRDefault="00494863" w:rsidP="00046642">
      <w:r>
        <w:t>Rowe, M., 2004. Institutional racism in British policing: The aftermath of the Stephen Lawrence Inquiry. Policy Press.</w:t>
      </w:r>
    </w:p>
    <w:p w14:paraId="4BD51C40" w14:textId="77777777" w:rsidR="00494863" w:rsidRDefault="00494863" w:rsidP="00046642">
      <w:r>
        <w:t xml:space="preserve">Sampson, R.J., Raudenbush, S.W., and Earls, F., 1997. </w:t>
      </w:r>
      <w:proofErr w:type="spellStart"/>
      <w:r>
        <w:t>Neighborhoods</w:t>
      </w:r>
      <w:proofErr w:type="spellEnd"/>
      <w:r>
        <w:t xml:space="preserve"> and violent crime: A multilevel study of collective efficacy. Science, 277(5328), pp. 918-924.</w:t>
      </w:r>
    </w:p>
    <w:p w14:paraId="49A9A2DC" w14:textId="77777777" w:rsidR="00494863" w:rsidRDefault="00494863" w:rsidP="00046642">
      <w:r>
        <w:t>Scottish Government, 2012. Violence Reduction Unit: A collaborative approach to reducing violence. Available at: https://www.scotland.gov.uk [Accessed 24 April 2025].</w:t>
      </w:r>
    </w:p>
    <w:p w14:paraId="0BD9A313" w14:textId="77777777" w:rsidR="00494863" w:rsidRDefault="00494863" w:rsidP="002E6695">
      <w:r>
        <w:t xml:space="preserve">Shiner, M., Carre, Z., Delsol, R. and Eastwood, N. (2020) The Colour of Injustice: ‘Race’, Drugs and Law Enforcement in England and Wales. London: </w:t>
      </w:r>
      <w:proofErr w:type="spellStart"/>
      <w:r>
        <w:t>StopWatch</w:t>
      </w:r>
      <w:proofErr w:type="spellEnd"/>
      <w:r>
        <w:t>.</w:t>
      </w:r>
    </w:p>
    <w:p w14:paraId="3751B884" w14:textId="77777777" w:rsidR="00494863" w:rsidRDefault="00494863" w:rsidP="00046642">
      <w:r>
        <w:t>Shiner, M., et al., 2018. Policing and racial disparities in the UK: An evaluation of the Police Race Action Plan. Runnymede Trust.</w:t>
      </w:r>
    </w:p>
    <w:p w14:paraId="552064A9" w14:textId="77777777" w:rsidR="00494863" w:rsidRDefault="00494863" w:rsidP="00046642">
      <w:proofErr w:type="spellStart"/>
      <w:r>
        <w:t>Skogan</w:t>
      </w:r>
      <w:proofErr w:type="spellEnd"/>
      <w:r>
        <w:t>, W.G., 2006. Community policing and community crime control. Policing: An International Journal of Police Strategies &amp; Management, 29(1), pp. 129-145.</w:t>
      </w:r>
    </w:p>
    <w:p w14:paraId="56C296E3" w14:textId="77777777" w:rsidR="00494863" w:rsidRDefault="00494863" w:rsidP="00046642">
      <w:r>
        <w:t>Sunshine, J., and Tyler, T.R., 2003. The role of procedural justice in shaping public attitudes towards the police. Law and Society Review, 37(3), pp. 513-548.</w:t>
      </w:r>
    </w:p>
    <w:p w14:paraId="02236719" w14:textId="77777777" w:rsidR="00494863" w:rsidRDefault="00494863" w:rsidP="002E6695">
      <w:r>
        <w:t>Todak, N. (2017) 'The Decision to Become a Police Officer: Findings from a Nationally Representative Survey of Police Officers', Police Quarterly, 20(1), pp. 22–45.</w:t>
      </w:r>
    </w:p>
    <w:p w14:paraId="2336DB63" w14:textId="77777777" w:rsidR="00494863" w:rsidRDefault="00494863" w:rsidP="00046642">
      <w:r>
        <w:t>Tyler, T.R., 1990. Why people obey the law. Yale University Press.</w:t>
      </w:r>
    </w:p>
    <w:p w14:paraId="0A8B2C61" w14:textId="77777777" w:rsidR="00494863" w:rsidRDefault="00494863" w:rsidP="00046642">
      <w:r>
        <w:t>Tyler, T.R., 2005. Policing in a multi-racial society: The importance of fairness in policing. University of Chicago Press.</w:t>
      </w:r>
    </w:p>
    <w:p w14:paraId="18322D54" w14:textId="77777777" w:rsidR="00494863" w:rsidRDefault="00494863" w:rsidP="00046642">
      <w:r>
        <w:t>Tyler, T.R., and Hue, C., 2002. Trust and legitimacy in policing. In: R. G. Thorne, ed. Police and society: Perspectives on justice. Springer, pp. 75-92.</w:t>
      </w:r>
    </w:p>
    <w:p w14:paraId="5801A9CF" w14:textId="77777777" w:rsidR="00494863" w:rsidRDefault="00494863" w:rsidP="002E6695">
      <w:r>
        <w:t>Waddington, P.A.J. (2018) Policing Citizens: Authority and Rights. London: Routledge.</w:t>
      </w:r>
    </w:p>
    <w:p w14:paraId="52DC502D" w14:textId="77777777" w:rsidR="00494863" w:rsidRDefault="00494863" w:rsidP="002E6695">
      <w:r>
        <w:t>Wankhade, P. (2020) 'Inter-Agency Collaboration and Learning: Reflections on the JESIP Approach', Journal of Organizational Change Management, 33(2), pp. 333–345.</w:t>
      </w:r>
    </w:p>
    <w:p w14:paraId="68FCB05A" w14:textId="77777777" w:rsidR="00494863" w:rsidRPr="00046642" w:rsidRDefault="00494863" w:rsidP="002E6695">
      <w:r>
        <w:t>Waring, S., Moran, J. and Heinsch, M. (2018) 'Interoperability in UK Emergency Management: A Policy-Oriented Analysis', Public Policy and Administration, 33(1), pp. 49–65.</w:t>
      </w:r>
    </w:p>
    <w:p w14:paraId="41065D03" w14:textId="77777777" w:rsidR="00494863" w:rsidRDefault="00494863" w:rsidP="00046642">
      <w:r>
        <w:t>Weisburd, D., and Eck, J.E., 2004. What can police do to reduce crime? Policing: A Journal of Policy and Practice, 2(2), pp. 109-118.</w:t>
      </w:r>
    </w:p>
    <w:p w14:paraId="2C2B20A5" w14:textId="77777777" w:rsidR="00494863" w:rsidRDefault="00494863" w:rsidP="00046642">
      <w:r>
        <w:t xml:space="preserve">Weitzer, R., and </w:t>
      </w:r>
      <w:proofErr w:type="spellStart"/>
      <w:r>
        <w:t>Tuch</w:t>
      </w:r>
      <w:proofErr w:type="spellEnd"/>
      <w:r>
        <w:t>, S.A., 2006. Racially discriminatory policing: Racial disparities in the policing of minority communities. Journal of Social Issues, 62(3), pp. 623-643.</w:t>
      </w:r>
    </w:p>
    <w:sectPr w:rsidR="004948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6642"/>
    <w:rsid w:val="00046642"/>
    <w:rsid w:val="002D0118"/>
    <w:rsid w:val="002E6695"/>
    <w:rsid w:val="002F4F9C"/>
    <w:rsid w:val="00494863"/>
    <w:rsid w:val="00C754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6DA6D3"/>
  <w15:chartTrackingRefBased/>
  <w15:docId w15:val="{136FE75C-BBD3-4281-BD60-318C5D8A54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66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66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66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66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66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66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66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66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66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66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66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66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66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66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66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66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66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6642"/>
    <w:rPr>
      <w:rFonts w:eastAsiaTheme="majorEastAsia" w:cstheme="majorBidi"/>
      <w:color w:val="272727" w:themeColor="text1" w:themeTint="D8"/>
    </w:rPr>
  </w:style>
  <w:style w:type="paragraph" w:styleId="Title">
    <w:name w:val="Title"/>
    <w:basedOn w:val="Normal"/>
    <w:next w:val="Normal"/>
    <w:link w:val="TitleChar"/>
    <w:uiPriority w:val="10"/>
    <w:qFormat/>
    <w:rsid w:val="000466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66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66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66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6642"/>
    <w:pPr>
      <w:spacing w:before="160"/>
      <w:jc w:val="center"/>
    </w:pPr>
    <w:rPr>
      <w:i/>
      <w:iCs/>
      <w:color w:val="404040" w:themeColor="text1" w:themeTint="BF"/>
    </w:rPr>
  </w:style>
  <w:style w:type="character" w:customStyle="1" w:styleId="QuoteChar">
    <w:name w:val="Quote Char"/>
    <w:basedOn w:val="DefaultParagraphFont"/>
    <w:link w:val="Quote"/>
    <w:uiPriority w:val="29"/>
    <w:rsid w:val="00046642"/>
    <w:rPr>
      <w:i/>
      <w:iCs/>
      <w:color w:val="404040" w:themeColor="text1" w:themeTint="BF"/>
    </w:rPr>
  </w:style>
  <w:style w:type="paragraph" w:styleId="ListParagraph">
    <w:name w:val="List Paragraph"/>
    <w:basedOn w:val="Normal"/>
    <w:uiPriority w:val="34"/>
    <w:qFormat/>
    <w:rsid w:val="00046642"/>
    <w:pPr>
      <w:ind w:left="720"/>
      <w:contextualSpacing/>
    </w:pPr>
  </w:style>
  <w:style w:type="character" w:styleId="IntenseEmphasis">
    <w:name w:val="Intense Emphasis"/>
    <w:basedOn w:val="DefaultParagraphFont"/>
    <w:uiPriority w:val="21"/>
    <w:qFormat/>
    <w:rsid w:val="00046642"/>
    <w:rPr>
      <w:i/>
      <w:iCs/>
      <w:color w:val="0F4761" w:themeColor="accent1" w:themeShade="BF"/>
    </w:rPr>
  </w:style>
  <w:style w:type="paragraph" w:styleId="IntenseQuote">
    <w:name w:val="Intense Quote"/>
    <w:basedOn w:val="Normal"/>
    <w:next w:val="Normal"/>
    <w:link w:val="IntenseQuoteChar"/>
    <w:uiPriority w:val="30"/>
    <w:qFormat/>
    <w:rsid w:val="000466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6642"/>
    <w:rPr>
      <w:i/>
      <w:iCs/>
      <w:color w:val="0F4761" w:themeColor="accent1" w:themeShade="BF"/>
    </w:rPr>
  </w:style>
  <w:style w:type="character" w:styleId="IntenseReference">
    <w:name w:val="Intense Reference"/>
    <w:basedOn w:val="DefaultParagraphFont"/>
    <w:uiPriority w:val="32"/>
    <w:qFormat/>
    <w:rsid w:val="0004664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15</Pages>
  <Words>5783</Words>
  <Characters>32966</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38672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Price,Jac swp8752</dc:creator>
  <cp:keywords/>
  <dc:description/>
  <cp:lastModifiedBy>Price,Jac swp8752</cp:lastModifiedBy>
  <cp:revision>2</cp:revision>
  <dcterms:created xsi:type="dcterms:W3CDTF">2025-04-28T15:32:00Z</dcterms:created>
  <dcterms:modified xsi:type="dcterms:W3CDTF">2025-04-28T15:54:00Z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2025-04-28T15:44:54Z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9edda6d2-fc7e-4db8-8686-4cf25831b89c</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