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787A5" w14:textId="0AC3E456" w:rsidR="002A3538" w:rsidRDefault="0A061E80" w:rsidP="0A061E80">
      <w:pPr>
        <w:ind w:left="1440"/>
        <w:jc w:val="center"/>
        <w:rPr>
          <w:sz w:val="32"/>
          <w:szCs w:val="32"/>
        </w:rPr>
      </w:pPr>
      <w:r w:rsidRPr="0A061E80">
        <w:rPr>
          <w:sz w:val="32"/>
          <w:szCs w:val="32"/>
        </w:rPr>
        <w:t xml:space="preserve">Assessment: Portfolio of activities </w:t>
      </w:r>
    </w:p>
    <w:p w14:paraId="54C5BAED" w14:textId="4B319154" w:rsidR="50BE4957" w:rsidRDefault="50BE4957" w:rsidP="50BE4957">
      <w:pPr>
        <w:rPr>
          <w:sz w:val="32"/>
          <w:szCs w:val="32"/>
        </w:rPr>
      </w:pPr>
      <w:r w:rsidRPr="50BE4957">
        <w:rPr>
          <w:sz w:val="32"/>
          <w:szCs w:val="32"/>
        </w:rPr>
        <w:t>The definition of a phobia is a fear of something that most times isn’t harmful. People who suffer from phobias will try to get away from it and by doing so can impact the individual and make their lives more difficult. For example, a phobia of spiders. There are many different types of phobias that people may develop from their childhood or you can develop later in life as you may have experienced something traumatic that made you develop a fear. Individuals suffering from an anxiety disorder may have a heightened sense of fear even when they’re in a place where there’s no danger. anxiety disorders are related to stress and make you worry.  Agoraphobia is feeling anxious when being alone in social environments away from the comfort of your home without the company of friends or family members. A specific phobia is very common it is a fear of a certain thing such as spiders. These types of phobias are not detrimental such as agoraphobia as it doesn’t impact your quality of life and you can live comfortably.. Specific phobias mostly happen when young but can occur at any time. Obsessive compulsive disorder is suffering from disturbing thoughts that are not their own. Religious people may experience thoughts that are going against their beliefs. Individuals may deal with these thoughts by carrying out rituals which they may do more than once to try and control their thoughts it can be very time consuming. This is called compulsions. Post-traumatic stress disorder is when a person experiences a traumatic event which can cause them to have flashbacks and anxiety about the trauma. For example, most soldiers have PTSD as see people die and their own lives are in threat. However, PTSD may not always happen right after a traumatic even it can happen after months. There are different types of mood effective disorders such as mania which is a sudden burst of energy and using that energy towards things that are not beneficial and not being to complete tasks. Depression can be experienced with mania (bipolar) however in some people may just have mania which can still be considered as bipolar. Unipolar is a mental disorder in which depression is only thing experienced for a prolonged amount of time it can be sever to mild depression. Major depressive disorder occurs in teenage years and above at any time the symptoms are low energy and a lack of optimism. Clinical depression is having severe or mild symptoms of sadness over long periods of time. Schizophrenia is the minds function being separated which can cause delusions and see things that aren’t there. Eating disorders are behavioural as it’s having an abnormal eating habits which can cause physical complications. Anorexia nervosa is starving yourself and restricting the amount, of food/calories you consume. Bulimia nervosa is overindulging in a short period of time then forcing yourself to vomit these two disorders are the most serious mental eating disorders as they both have quite severe symptoms.</w:t>
      </w:r>
    </w:p>
    <w:p w14:paraId="1B2D11AF" w14:textId="77777777" w:rsidR="00C20783" w:rsidRDefault="00C20783" w:rsidP="0A061E80">
      <w:pPr>
        <w:rPr>
          <w:sz w:val="32"/>
          <w:szCs w:val="32"/>
        </w:rPr>
      </w:pPr>
    </w:p>
    <w:p w14:paraId="725432DA" w14:textId="52C145DE" w:rsidR="50BE4957" w:rsidRDefault="50BE4957" w:rsidP="50BE4957">
      <w:r w:rsidRPr="50BE4957">
        <w:rPr>
          <w:rFonts w:ascii="Calibri" w:eastAsia="Calibri" w:hAnsi="Calibri" w:cs="Calibri"/>
          <w:sz w:val="32"/>
          <w:szCs w:val="32"/>
        </w:rPr>
        <w:t xml:space="preserve">Book: Gross, R. (2010). </w:t>
      </w:r>
      <w:r w:rsidRPr="50BE4957">
        <w:rPr>
          <w:rFonts w:ascii="Calibri" w:eastAsia="Calibri" w:hAnsi="Calibri" w:cs="Calibri"/>
          <w:i/>
          <w:iCs/>
          <w:sz w:val="32"/>
          <w:szCs w:val="32"/>
        </w:rPr>
        <w:t>Psychology: The science of mind and behaviour.</w:t>
      </w:r>
      <w:r w:rsidRPr="50BE4957">
        <w:rPr>
          <w:rFonts w:ascii="Calibri" w:eastAsia="Calibri" w:hAnsi="Calibri" w:cs="Calibri"/>
          <w:sz w:val="32"/>
          <w:szCs w:val="32"/>
        </w:rPr>
        <w:t xml:space="preserve"> London: Hodder Education.</w:t>
      </w:r>
    </w:p>
    <w:p w14:paraId="211A237F" w14:textId="77777777" w:rsidR="00C20783" w:rsidRDefault="00C20783" w:rsidP="0A061E80">
      <w:pPr>
        <w:rPr>
          <w:sz w:val="32"/>
          <w:szCs w:val="32"/>
        </w:rPr>
      </w:pPr>
    </w:p>
    <w:p w14:paraId="15F7129A" w14:textId="77777777" w:rsidR="00C20783" w:rsidRDefault="00C20783" w:rsidP="0A061E80">
      <w:pPr>
        <w:rPr>
          <w:sz w:val="32"/>
          <w:szCs w:val="32"/>
        </w:rPr>
      </w:pPr>
    </w:p>
    <w:p w14:paraId="5C15C319" w14:textId="77777777" w:rsidR="00C20783" w:rsidRDefault="00C20783" w:rsidP="0A061E80">
      <w:pPr>
        <w:rPr>
          <w:sz w:val="32"/>
          <w:szCs w:val="32"/>
        </w:rPr>
      </w:pPr>
    </w:p>
    <w:p w14:paraId="434191FB" w14:textId="77777777" w:rsidR="00C20783" w:rsidRDefault="00C20783" w:rsidP="0A061E80">
      <w:pPr>
        <w:rPr>
          <w:sz w:val="32"/>
          <w:szCs w:val="32"/>
        </w:rPr>
      </w:pPr>
    </w:p>
    <w:p w14:paraId="619194F6" w14:textId="77777777" w:rsidR="00C20783" w:rsidRDefault="00C20783" w:rsidP="0A061E80">
      <w:pPr>
        <w:rPr>
          <w:sz w:val="32"/>
          <w:szCs w:val="32"/>
        </w:rPr>
      </w:pPr>
    </w:p>
    <w:p w14:paraId="5EBA139B" w14:textId="77777777" w:rsidR="00C20783" w:rsidRDefault="00C20783" w:rsidP="0A061E80">
      <w:pPr>
        <w:rPr>
          <w:sz w:val="32"/>
          <w:szCs w:val="32"/>
        </w:rPr>
      </w:pPr>
    </w:p>
    <w:p w14:paraId="417BF900" w14:textId="77777777" w:rsidR="00C20783" w:rsidRDefault="00C20783" w:rsidP="0A061E80">
      <w:pPr>
        <w:rPr>
          <w:sz w:val="32"/>
          <w:szCs w:val="32"/>
        </w:rPr>
      </w:pPr>
    </w:p>
    <w:p w14:paraId="0E398B4A" w14:textId="77777777" w:rsidR="00C20783" w:rsidRDefault="00C20783" w:rsidP="0A061E80">
      <w:pPr>
        <w:rPr>
          <w:sz w:val="32"/>
          <w:szCs w:val="32"/>
        </w:rPr>
      </w:pPr>
    </w:p>
    <w:p w14:paraId="59AFDBC0" w14:textId="77777777" w:rsidR="00C20783" w:rsidRDefault="00C20783" w:rsidP="0A061E80">
      <w:pPr>
        <w:rPr>
          <w:sz w:val="32"/>
          <w:szCs w:val="32"/>
        </w:rPr>
      </w:pPr>
    </w:p>
    <w:p w14:paraId="503B9360" w14:textId="77777777" w:rsidR="00C20783" w:rsidRDefault="00C20783" w:rsidP="0A061E80">
      <w:pPr>
        <w:rPr>
          <w:sz w:val="32"/>
          <w:szCs w:val="32"/>
        </w:rPr>
      </w:pPr>
    </w:p>
    <w:p w14:paraId="2553DFE3" w14:textId="77777777" w:rsidR="00C20783" w:rsidRDefault="00C20783" w:rsidP="0A061E80">
      <w:pPr>
        <w:rPr>
          <w:sz w:val="32"/>
          <w:szCs w:val="32"/>
        </w:rPr>
      </w:pPr>
    </w:p>
    <w:p w14:paraId="0B036559" w14:textId="77777777" w:rsidR="00C20783" w:rsidRDefault="00C20783" w:rsidP="0A061E80">
      <w:pPr>
        <w:rPr>
          <w:sz w:val="32"/>
          <w:szCs w:val="32"/>
        </w:rPr>
      </w:pPr>
    </w:p>
    <w:p w14:paraId="54A53830" w14:textId="77777777" w:rsidR="00C20783" w:rsidRDefault="00C20783" w:rsidP="0A061E80">
      <w:pPr>
        <w:rPr>
          <w:sz w:val="32"/>
          <w:szCs w:val="32"/>
        </w:rPr>
      </w:pPr>
    </w:p>
    <w:p w14:paraId="23D303CD" w14:textId="77777777" w:rsidR="00C20783" w:rsidRDefault="00C20783" w:rsidP="0A061E80">
      <w:pPr>
        <w:rPr>
          <w:sz w:val="32"/>
          <w:szCs w:val="32"/>
        </w:rPr>
      </w:pPr>
    </w:p>
    <w:p w14:paraId="1749A193" w14:textId="77777777" w:rsidR="00C20783" w:rsidRDefault="00C20783" w:rsidP="0A061E80">
      <w:pPr>
        <w:rPr>
          <w:sz w:val="32"/>
          <w:szCs w:val="32"/>
        </w:rPr>
      </w:pPr>
    </w:p>
    <w:p w14:paraId="5DBEC801" w14:textId="44732FD4" w:rsidR="50BE4957" w:rsidRDefault="50BE4957" w:rsidP="50BE4957">
      <w:pPr>
        <w:rPr>
          <w:sz w:val="28"/>
          <w:szCs w:val="28"/>
        </w:rPr>
      </w:pPr>
      <w:r w:rsidRPr="50BE4957">
        <w:rPr>
          <w:sz w:val="28"/>
          <w:szCs w:val="28"/>
        </w:rPr>
        <w:t xml:space="preserve">Summarise 3 journal articles into abstracts </w:t>
      </w:r>
      <w:r w:rsidRPr="50BE4957">
        <w:rPr>
          <w:rFonts w:ascii="Calibri" w:eastAsia="Calibri" w:hAnsi="Calibri" w:cs="Calibri"/>
          <w:sz w:val="28"/>
          <w:szCs w:val="28"/>
        </w:rPr>
        <w:t>120-150 word</w:t>
      </w:r>
    </w:p>
    <w:p w14:paraId="4FC79A6A" w14:textId="19930BC6" w:rsidR="00C20783" w:rsidRPr="00B52783" w:rsidRDefault="00C20783" w:rsidP="0A061E80">
      <w:pPr>
        <w:rPr>
          <w:sz w:val="28"/>
          <w:szCs w:val="32"/>
          <w:u w:val="single"/>
        </w:rPr>
      </w:pPr>
      <w:r w:rsidRPr="00B52783">
        <w:rPr>
          <w:sz w:val="28"/>
          <w:szCs w:val="32"/>
          <w:u w:val="single"/>
        </w:rPr>
        <w:t xml:space="preserve">Is gambling an emerging public health issue for Wales, UK? 03 December 2018 </w:t>
      </w:r>
    </w:p>
    <w:p w14:paraId="09EA7460" w14:textId="4FD9BED5" w:rsidR="0A061E80" w:rsidRPr="00B52783" w:rsidRDefault="0A061E80" w:rsidP="50BE4957">
      <w:pPr>
        <w:rPr>
          <w:sz w:val="28"/>
          <w:szCs w:val="28"/>
        </w:rPr>
      </w:pPr>
    </w:p>
    <w:p w14:paraId="2CB6AB70" w14:textId="04F002C9" w:rsidR="50BE4957" w:rsidRDefault="50BE4957" w:rsidP="50BE4957">
      <w:pPr>
        <w:rPr>
          <w:sz w:val="28"/>
          <w:szCs w:val="28"/>
        </w:rPr>
      </w:pPr>
      <w:r w:rsidRPr="50BE4957">
        <w:rPr>
          <w:sz w:val="28"/>
          <w:szCs w:val="28"/>
        </w:rPr>
        <w:t>Gambling is an uprising public health issue where certain types of gambling such as online gambling can inflict damage and can be a threat to peoples’ livelihoods. However, most people who gamble lose small amounts and the effects of gambling are not equal in society. The study used previous literature and data sets to figure out the damage that gambling causes and to see if gambling is a serious uprising public health issue. As ‘63% of men admit to gambling in the last 12 months’.  The conclusion is that provisions need to be made in order to protect families and friends from the negative impacts of gambling such as stress and money worries. Also, to help reduce the use of gambling.</w:t>
      </w:r>
    </w:p>
    <w:p w14:paraId="32C2388C" w14:textId="7D596FAB" w:rsidR="50BE4957" w:rsidRDefault="50BE4957" w:rsidP="50BE4957">
      <w:pPr>
        <w:spacing w:after="24"/>
        <w:ind w:left="604" w:right="1" w:hanging="10"/>
        <w:rPr>
          <w:i/>
          <w:iCs/>
          <w:sz w:val="28"/>
          <w:szCs w:val="28"/>
        </w:rPr>
      </w:pPr>
      <w:r w:rsidRPr="50BE4957">
        <w:rPr>
          <w:rFonts w:ascii="Calibri" w:eastAsia="Calibri" w:hAnsi="Calibri" w:cs="Calibri"/>
          <w:sz w:val="24"/>
          <w:szCs w:val="24"/>
        </w:rPr>
        <w:t>Atherton</w:t>
      </w:r>
      <w:r w:rsidRPr="50BE4957">
        <w:rPr>
          <w:rFonts w:ascii="Calibri" w:eastAsia="Calibri" w:hAnsi="Calibri" w:cs="Calibri"/>
          <w:sz w:val="24"/>
          <w:szCs w:val="24"/>
          <w:vertAlign w:val="superscript"/>
        </w:rPr>
        <w:t xml:space="preserve">1  </w:t>
      </w:r>
      <w:r w:rsidRPr="50BE4957">
        <w:rPr>
          <w:rFonts w:ascii="Calibri" w:eastAsia="Calibri" w:hAnsi="Calibri" w:cs="Calibri"/>
          <w:sz w:val="24"/>
          <w:szCs w:val="24"/>
        </w:rPr>
        <w:t>F. , Beynon</w:t>
      </w:r>
      <w:r w:rsidRPr="50BE4957">
        <w:rPr>
          <w:rFonts w:ascii="Calibri" w:eastAsia="Calibri" w:hAnsi="Calibri" w:cs="Calibri"/>
          <w:sz w:val="24"/>
          <w:szCs w:val="24"/>
          <w:vertAlign w:val="superscript"/>
        </w:rPr>
        <w:t>2</w:t>
      </w:r>
      <w:r w:rsidRPr="50BE4957">
        <w:rPr>
          <w:i/>
          <w:iCs/>
          <w:sz w:val="28"/>
          <w:szCs w:val="28"/>
        </w:rPr>
        <w:t xml:space="preserve"> C. (03 December 2018)</w:t>
      </w:r>
      <w:r w:rsidRPr="50BE4957">
        <w:rPr>
          <w:sz w:val="28"/>
          <w:szCs w:val="28"/>
        </w:rPr>
        <w:t xml:space="preserve"> Is gambling an emerging public health issue for Wales, UK?</w:t>
      </w:r>
      <w:r w:rsidRPr="50BE4957">
        <w:rPr>
          <w:i/>
          <w:iCs/>
          <w:sz w:val="28"/>
          <w:szCs w:val="28"/>
        </w:rPr>
        <w:t xml:space="preserve"> </w:t>
      </w:r>
      <w:r w:rsidRPr="50BE4957">
        <w:rPr>
          <w:rFonts w:eastAsiaTheme="minorEastAsia"/>
          <w:i/>
          <w:iCs/>
          <w:sz w:val="28"/>
          <w:szCs w:val="28"/>
        </w:rPr>
        <w:t xml:space="preserve">Journal of Public Health, </w:t>
      </w:r>
      <w:r w:rsidRPr="50BE4957">
        <w:rPr>
          <w:rFonts w:eastAsiaTheme="minorEastAsia"/>
          <w:sz w:val="28"/>
          <w:szCs w:val="28"/>
        </w:rPr>
        <w:t>pp. 1–6.</w:t>
      </w:r>
    </w:p>
    <w:p w14:paraId="31095D07" w14:textId="0E7D040A" w:rsidR="50BE4957" w:rsidRDefault="50BE4957" w:rsidP="50BE4957">
      <w:pPr>
        <w:spacing w:after="24"/>
        <w:ind w:left="604" w:right="1" w:hanging="10"/>
        <w:rPr>
          <w:i/>
          <w:iCs/>
          <w:sz w:val="28"/>
          <w:szCs w:val="28"/>
        </w:rPr>
      </w:pPr>
    </w:p>
    <w:p w14:paraId="7D9ED08B" w14:textId="58521CD0" w:rsidR="50BE4957" w:rsidRDefault="50BE4957" w:rsidP="50BE4957">
      <w:pPr>
        <w:rPr>
          <w:rFonts w:eastAsiaTheme="minorEastAsia"/>
          <w:sz w:val="28"/>
          <w:szCs w:val="28"/>
          <w:u w:val="single"/>
        </w:rPr>
      </w:pPr>
      <w:r w:rsidRPr="50BE4957">
        <w:rPr>
          <w:rFonts w:eastAsiaTheme="minorEastAsia"/>
          <w:sz w:val="28"/>
          <w:szCs w:val="28"/>
          <w:u w:val="single"/>
        </w:rPr>
        <w:t>The Price of Sexy: Viewers’ Perceptions of a Sexualized Versus Nonsexualized Facebook Profile Photograph</w:t>
      </w:r>
    </w:p>
    <w:p w14:paraId="210BD69A" w14:textId="5EB93095" w:rsidR="50BE4957" w:rsidRDefault="50BE4957" w:rsidP="50BE4957">
      <w:pPr>
        <w:rPr>
          <w:rFonts w:eastAsiaTheme="minorEastAsia"/>
          <w:sz w:val="28"/>
          <w:szCs w:val="28"/>
        </w:rPr>
      </w:pPr>
      <w:r w:rsidRPr="50BE4957">
        <w:rPr>
          <w:rFonts w:eastAsiaTheme="minorEastAsia"/>
          <w:sz w:val="28"/>
          <w:szCs w:val="28"/>
        </w:rPr>
        <w:t xml:space="preserve">Women from ethnic minorities are always sexualised in the media. Young people in education need to be taught about sexualisation in the media as there’s many issues that need to be addressed as its unfair for young girls to be advised not to post sexy photos as it’s proven that girls who do are being objectified. This study is based on teenage girls and young women behaviour towards the persons Facebook account if they had a sexualised or non-sexualised photo. The results show that young women judged girls who have sexualised profile photos in negative way and wouldn’t want to befriend them. Young girls posting a sexualised profile picture has many downsides and may cause a negative impact from peers. </w:t>
      </w:r>
    </w:p>
    <w:p w14:paraId="68D0B902" w14:textId="5E26562E" w:rsidR="50BE4957" w:rsidRDefault="50BE4957" w:rsidP="50BE4957">
      <w:pPr>
        <w:rPr>
          <w:rFonts w:eastAsiaTheme="minorEastAsia"/>
          <w:sz w:val="28"/>
          <w:szCs w:val="28"/>
        </w:rPr>
      </w:pPr>
    </w:p>
    <w:p w14:paraId="2F48CFCB" w14:textId="6D7CA07B" w:rsidR="50BE4957" w:rsidRDefault="50BE4957" w:rsidP="50BE4957">
      <w:pPr>
        <w:rPr>
          <w:rFonts w:eastAsiaTheme="minorEastAsia"/>
          <w:color w:val="2E3092"/>
          <w:sz w:val="28"/>
          <w:szCs w:val="28"/>
        </w:rPr>
      </w:pPr>
      <w:r w:rsidRPr="50BE4957">
        <w:rPr>
          <w:rFonts w:eastAsiaTheme="minorEastAsia"/>
          <w:sz w:val="28"/>
          <w:szCs w:val="28"/>
        </w:rPr>
        <w:t xml:space="preserve">Elizabeth A. Daniels, Eileen L. Zurbriggen (2014). The Price of Sexy: Viewers’ Perceptions of a Sexualized Versus Nonsexualized Facebook Profile Photograph, </w:t>
      </w:r>
      <w:r w:rsidRPr="50BE4957">
        <w:rPr>
          <w:rFonts w:eastAsiaTheme="minorEastAsia"/>
          <w:i/>
          <w:iCs/>
          <w:sz w:val="28"/>
          <w:szCs w:val="28"/>
        </w:rPr>
        <w:t>Psychology of Popular Media Culture</w:t>
      </w:r>
      <w:r w:rsidRPr="50BE4957">
        <w:rPr>
          <w:rFonts w:eastAsiaTheme="minorEastAsia"/>
          <w:color w:val="221F1F"/>
          <w:sz w:val="28"/>
          <w:szCs w:val="28"/>
        </w:rPr>
        <w:t>© American Psychological Association 2016, Vol. 5, No. 1, 2–142160-4134</w:t>
      </w:r>
    </w:p>
    <w:p w14:paraId="343EA4EF" w14:textId="4CAB5173" w:rsidR="50BE4957" w:rsidRDefault="50BE4957" w:rsidP="50BE4957">
      <w:pPr>
        <w:rPr>
          <w:rFonts w:ascii="Calibri" w:eastAsia="Calibri" w:hAnsi="Calibri" w:cs="Calibri"/>
          <w:sz w:val="24"/>
          <w:szCs w:val="24"/>
          <w:u w:val="single"/>
        </w:rPr>
      </w:pPr>
      <w:r w:rsidRPr="50BE4957">
        <w:rPr>
          <w:rFonts w:ascii="Calibri" w:eastAsia="Calibri" w:hAnsi="Calibri" w:cs="Calibri"/>
          <w:sz w:val="28"/>
          <w:szCs w:val="28"/>
          <w:u w:val="single"/>
        </w:rPr>
        <w:t>The role of narcissism in health-risk and health-protective behaviors</w:t>
      </w:r>
    </w:p>
    <w:p w14:paraId="5D8E39BC" w14:textId="36CC74E4" w:rsidR="50BE4957" w:rsidRDefault="50BE4957" w:rsidP="50BE4957">
      <w:pPr>
        <w:rPr>
          <w:rFonts w:ascii="Calibri" w:eastAsia="Calibri" w:hAnsi="Calibri" w:cs="Calibri"/>
          <w:sz w:val="28"/>
          <w:szCs w:val="28"/>
        </w:rPr>
      </w:pPr>
      <w:r w:rsidRPr="50BE4957">
        <w:rPr>
          <w:rFonts w:ascii="Calibri" w:eastAsia="Calibri" w:hAnsi="Calibri" w:cs="Calibri"/>
          <w:sz w:val="28"/>
          <w:szCs w:val="28"/>
        </w:rPr>
        <w:t>This study is analysing narcissism within undergraduates in health risk and health protective behaviours. By conducting regression tests to find out the level of narcissism impacting their health as the relationship between health and narcissism is complicated therefore more experiments are needed. The results found that narcissism positively impacted drug use, alcohol, healthy eating patterns and risky driving. The short and long term, risks are mentioned.</w:t>
      </w:r>
    </w:p>
    <w:p w14:paraId="2AB24166" w14:textId="0DB3FA0C" w:rsidR="50BE4957" w:rsidRDefault="50BE4957" w:rsidP="50BE4957">
      <w:pPr>
        <w:rPr>
          <w:rFonts w:ascii="Calibri" w:eastAsia="Calibri" w:hAnsi="Calibri" w:cs="Calibri"/>
          <w:sz w:val="28"/>
          <w:szCs w:val="28"/>
        </w:rPr>
      </w:pPr>
    </w:p>
    <w:p w14:paraId="6A420CF4" w14:textId="539EAD83" w:rsidR="50BE4957" w:rsidRDefault="50BE4957" w:rsidP="50BE4957">
      <w:pPr>
        <w:rPr>
          <w:rFonts w:ascii="Calibri" w:eastAsia="Calibri" w:hAnsi="Calibri" w:cs="Calibri"/>
          <w:sz w:val="28"/>
          <w:szCs w:val="28"/>
        </w:rPr>
      </w:pPr>
      <w:r w:rsidRPr="50BE4957">
        <w:rPr>
          <w:rFonts w:ascii="Calibri" w:eastAsia="Calibri" w:hAnsi="Calibri" w:cs="Calibri"/>
          <w:sz w:val="28"/>
          <w:szCs w:val="28"/>
        </w:rPr>
        <w:t xml:space="preserve">M Hill Erin.(2016). The role of narcissism in health-risk and health-protective behaviors. </w:t>
      </w:r>
      <w:r w:rsidRPr="50BE4957">
        <w:rPr>
          <w:rFonts w:ascii="Calibri" w:eastAsia="Calibri" w:hAnsi="Calibri" w:cs="Calibri"/>
          <w:i/>
          <w:iCs/>
          <w:sz w:val="28"/>
          <w:szCs w:val="28"/>
        </w:rPr>
        <w:t>Journal of Health Psychology,</w:t>
      </w:r>
      <w:r w:rsidRPr="50BE4957">
        <w:rPr>
          <w:rFonts w:ascii="Calibri" w:eastAsia="Calibri" w:hAnsi="Calibri" w:cs="Calibri"/>
          <w:sz w:val="28"/>
          <w:szCs w:val="28"/>
        </w:rPr>
        <w:t xml:space="preserve"> </w:t>
      </w:r>
      <w:r w:rsidRPr="50BE4957">
        <w:rPr>
          <w:rFonts w:ascii="Calibri" w:eastAsia="Calibri" w:hAnsi="Calibri" w:cs="Calibri"/>
          <w:i/>
          <w:iCs/>
          <w:sz w:val="28"/>
          <w:szCs w:val="28"/>
        </w:rPr>
        <w:t>Vol. 21,</w:t>
      </w:r>
    </w:p>
    <w:p w14:paraId="017674A2" w14:textId="048B2ADF" w:rsidR="50BE4957" w:rsidRDefault="50BE4957" w:rsidP="50BE4957">
      <w:pPr>
        <w:rPr>
          <w:rFonts w:ascii="Calibri" w:eastAsia="Calibri" w:hAnsi="Calibri" w:cs="Calibri"/>
          <w:sz w:val="28"/>
          <w:szCs w:val="28"/>
        </w:rPr>
      </w:pPr>
    </w:p>
    <w:p w14:paraId="3E0768C8" w14:textId="3D4BA031" w:rsidR="007F2226" w:rsidRDefault="007F2226" w:rsidP="0A061E80">
      <w:pPr>
        <w:rPr>
          <w:sz w:val="32"/>
          <w:szCs w:val="32"/>
        </w:rPr>
      </w:pPr>
    </w:p>
    <w:p w14:paraId="194D41FC" w14:textId="43E90D47" w:rsidR="007F2226" w:rsidRDefault="007F2226" w:rsidP="0A061E80">
      <w:pPr>
        <w:rPr>
          <w:sz w:val="32"/>
          <w:szCs w:val="32"/>
        </w:rPr>
      </w:pPr>
    </w:p>
    <w:p w14:paraId="5EAF477D" w14:textId="0556796E" w:rsidR="007F2226" w:rsidRDefault="007F2226" w:rsidP="0A061E80">
      <w:pPr>
        <w:rPr>
          <w:sz w:val="32"/>
          <w:szCs w:val="32"/>
        </w:rPr>
      </w:pPr>
    </w:p>
    <w:p w14:paraId="617D1D77" w14:textId="17E05A64" w:rsidR="007F2226" w:rsidRDefault="007F2226" w:rsidP="0A061E80">
      <w:pPr>
        <w:rPr>
          <w:sz w:val="32"/>
          <w:szCs w:val="32"/>
        </w:rPr>
      </w:pPr>
    </w:p>
    <w:p w14:paraId="14F860FC" w14:textId="17AD4EEF" w:rsidR="007F2226" w:rsidRDefault="007F2226" w:rsidP="0A061E80">
      <w:pPr>
        <w:rPr>
          <w:sz w:val="32"/>
          <w:szCs w:val="32"/>
        </w:rPr>
      </w:pPr>
    </w:p>
    <w:p w14:paraId="6EB9E0D1" w14:textId="6BF2A264" w:rsidR="007F2226" w:rsidRDefault="007F2226" w:rsidP="0A061E80">
      <w:pPr>
        <w:rPr>
          <w:sz w:val="32"/>
          <w:szCs w:val="32"/>
        </w:rPr>
      </w:pPr>
    </w:p>
    <w:p w14:paraId="564CC8E4" w14:textId="5AC3C8B0" w:rsidR="007F2226" w:rsidRDefault="007F2226" w:rsidP="0A061E80">
      <w:pPr>
        <w:rPr>
          <w:sz w:val="32"/>
          <w:szCs w:val="32"/>
        </w:rPr>
      </w:pPr>
    </w:p>
    <w:p w14:paraId="23F6FD6D" w14:textId="5565113E" w:rsidR="007F2226" w:rsidRDefault="007F2226" w:rsidP="0A061E80">
      <w:pPr>
        <w:rPr>
          <w:sz w:val="32"/>
          <w:szCs w:val="32"/>
        </w:rPr>
      </w:pPr>
    </w:p>
    <w:p w14:paraId="21535EC7" w14:textId="1667B74F" w:rsidR="007F2226" w:rsidRDefault="007F2226" w:rsidP="0A061E80">
      <w:pPr>
        <w:rPr>
          <w:sz w:val="32"/>
          <w:szCs w:val="32"/>
        </w:rPr>
      </w:pPr>
    </w:p>
    <w:p w14:paraId="23F02253" w14:textId="4E618EB6" w:rsidR="007F2226" w:rsidRDefault="007F2226" w:rsidP="0A061E80">
      <w:pPr>
        <w:rPr>
          <w:sz w:val="32"/>
          <w:szCs w:val="32"/>
        </w:rPr>
      </w:pPr>
    </w:p>
    <w:p w14:paraId="0FACBDAD" w14:textId="70F55C5A" w:rsidR="007F2226" w:rsidRDefault="007F2226" w:rsidP="0A061E80">
      <w:pPr>
        <w:rPr>
          <w:sz w:val="32"/>
          <w:szCs w:val="32"/>
        </w:rPr>
      </w:pPr>
    </w:p>
    <w:p w14:paraId="0FE4E5FB" w14:textId="5B577645" w:rsidR="007F2226" w:rsidRDefault="007F2226" w:rsidP="0A061E80">
      <w:pPr>
        <w:rPr>
          <w:sz w:val="32"/>
          <w:szCs w:val="32"/>
        </w:rPr>
      </w:pPr>
    </w:p>
    <w:p w14:paraId="456115B9" w14:textId="388B402F" w:rsidR="007F2226" w:rsidRDefault="007F2226" w:rsidP="0A061E80">
      <w:pPr>
        <w:rPr>
          <w:sz w:val="32"/>
          <w:szCs w:val="32"/>
        </w:rPr>
      </w:pPr>
    </w:p>
    <w:p w14:paraId="512A2D14" w14:textId="5A104895" w:rsidR="007F2226" w:rsidRDefault="007F2226" w:rsidP="0A061E80">
      <w:pPr>
        <w:rPr>
          <w:sz w:val="32"/>
          <w:szCs w:val="32"/>
        </w:rPr>
      </w:pPr>
    </w:p>
    <w:p w14:paraId="3DBD60AF" w14:textId="2532EA46" w:rsidR="007F2226" w:rsidRDefault="007F2226" w:rsidP="0A061E80">
      <w:pPr>
        <w:rPr>
          <w:sz w:val="32"/>
          <w:szCs w:val="32"/>
        </w:rPr>
      </w:pPr>
    </w:p>
    <w:p w14:paraId="2D524AF5" w14:textId="49127670" w:rsidR="007F2226" w:rsidRDefault="007F2226" w:rsidP="0A061E80">
      <w:pPr>
        <w:rPr>
          <w:sz w:val="32"/>
          <w:szCs w:val="32"/>
        </w:rPr>
      </w:pPr>
    </w:p>
    <w:p w14:paraId="645693EE" w14:textId="68760B38" w:rsidR="007F2226" w:rsidRDefault="007F2226" w:rsidP="0A061E80">
      <w:pPr>
        <w:rPr>
          <w:sz w:val="32"/>
          <w:szCs w:val="32"/>
        </w:rPr>
      </w:pPr>
    </w:p>
    <w:p w14:paraId="1399438E" w14:textId="79C15AC0" w:rsidR="007F2226" w:rsidRDefault="007F2226" w:rsidP="0A061E80">
      <w:pPr>
        <w:rPr>
          <w:sz w:val="32"/>
          <w:szCs w:val="32"/>
        </w:rPr>
      </w:pPr>
    </w:p>
    <w:p w14:paraId="09C3727C" w14:textId="2A0BC6E8" w:rsidR="007F2226" w:rsidRDefault="007F2226" w:rsidP="0A061E80">
      <w:pPr>
        <w:rPr>
          <w:sz w:val="32"/>
          <w:szCs w:val="32"/>
        </w:rPr>
      </w:pPr>
    </w:p>
    <w:p w14:paraId="20DA6D2D" w14:textId="769B2858" w:rsidR="007F2226" w:rsidRDefault="007F2226" w:rsidP="0A061E80">
      <w:pPr>
        <w:rPr>
          <w:sz w:val="32"/>
          <w:szCs w:val="32"/>
        </w:rPr>
      </w:pPr>
    </w:p>
    <w:p w14:paraId="39679F5F" w14:textId="5759CC76" w:rsidR="007F2226" w:rsidRDefault="007F2226" w:rsidP="0A061E80">
      <w:pPr>
        <w:rPr>
          <w:sz w:val="32"/>
          <w:szCs w:val="32"/>
        </w:rPr>
      </w:pPr>
    </w:p>
    <w:p w14:paraId="2B05B99D" w14:textId="15AE8159" w:rsidR="007F2226" w:rsidRDefault="007F2226" w:rsidP="0A061E80">
      <w:pPr>
        <w:rPr>
          <w:sz w:val="32"/>
          <w:szCs w:val="32"/>
        </w:rPr>
      </w:pPr>
    </w:p>
    <w:p w14:paraId="62A4E77B" w14:textId="6B5143B4" w:rsidR="007F2226" w:rsidRDefault="007F2226" w:rsidP="0A061E80">
      <w:pPr>
        <w:rPr>
          <w:sz w:val="32"/>
          <w:szCs w:val="32"/>
        </w:rPr>
      </w:pPr>
    </w:p>
    <w:p w14:paraId="279F516B" w14:textId="2603479F" w:rsidR="007F2226" w:rsidRDefault="007F2226" w:rsidP="0A061E80">
      <w:pPr>
        <w:rPr>
          <w:sz w:val="32"/>
          <w:szCs w:val="32"/>
        </w:rPr>
      </w:pPr>
    </w:p>
    <w:p w14:paraId="66DF58C1" w14:textId="215CD495" w:rsidR="007F2226" w:rsidRDefault="007F2226" w:rsidP="0A061E80">
      <w:pPr>
        <w:rPr>
          <w:sz w:val="32"/>
          <w:szCs w:val="32"/>
        </w:rPr>
      </w:pPr>
    </w:p>
    <w:p w14:paraId="724A0444" w14:textId="78F0A592" w:rsidR="00705E6B" w:rsidRPr="00705E6B" w:rsidRDefault="00705E6B" w:rsidP="50BE4957">
      <w:pPr>
        <w:rPr>
          <w:b/>
          <w:bCs/>
          <w:sz w:val="32"/>
          <w:szCs w:val="32"/>
        </w:rPr>
      </w:pPr>
    </w:p>
    <w:p w14:paraId="1C92AC67" w14:textId="0469F9F8" w:rsidR="00705E6B" w:rsidRDefault="00705E6B" w:rsidP="00705E6B">
      <w:pPr>
        <w:rPr>
          <w:b/>
          <w:bCs/>
          <w:sz w:val="32"/>
          <w:szCs w:val="32"/>
        </w:rPr>
      </w:pPr>
      <w:r w:rsidRPr="00705E6B">
        <w:rPr>
          <w:b/>
          <w:bCs/>
          <w:sz w:val="32"/>
          <w:szCs w:val="32"/>
        </w:rPr>
        <w:t xml:space="preserve">Jumbled Reference List </w:t>
      </w:r>
    </w:p>
    <w:p w14:paraId="70A741C8" w14:textId="1DD2C77C" w:rsidR="00705E6B" w:rsidRDefault="002D14FE" w:rsidP="00705E6B">
      <w:pPr>
        <w:rPr>
          <w:sz w:val="32"/>
          <w:szCs w:val="32"/>
        </w:rPr>
      </w:pPr>
      <w:r w:rsidRPr="002D14FE">
        <w:rPr>
          <w:sz w:val="32"/>
          <w:szCs w:val="32"/>
        </w:rPr>
        <w:t>Office for National Statistics</w:t>
      </w:r>
      <w:r w:rsidRPr="002D14FE">
        <w:t xml:space="preserve"> </w:t>
      </w:r>
      <w:r w:rsidRPr="002D14FE">
        <w:rPr>
          <w:sz w:val="32"/>
          <w:szCs w:val="32"/>
        </w:rPr>
        <w:t>Release date: 3 May 2016</w:t>
      </w:r>
      <w:r w:rsidR="00705E6B" w:rsidRPr="00705E6B">
        <w:rPr>
          <w:sz w:val="32"/>
          <w:szCs w:val="32"/>
        </w:rPr>
        <w:t xml:space="preserve"> Adult drinking habits in Great Britain: 2005 to 2016. </w:t>
      </w:r>
      <w:hyperlink r:id="rId10" w:history="1">
        <w:r w:rsidR="00705E6B" w:rsidRPr="009F26DB">
          <w:rPr>
            <w:rStyle w:val="Hyperlink"/>
            <w:sz w:val="32"/>
            <w:szCs w:val="32"/>
          </w:rPr>
          <w:t>https://www.ons.gov.uk/peoplepopulationandcommunity/healthandsocialcare/drugusealcoholandsmoking/bulletins/opinionsandlifestylesurveyadultdrinkinghabit singreatbritain/2005to2016</w:t>
        </w:r>
      </w:hyperlink>
    </w:p>
    <w:p w14:paraId="338C2A86" w14:textId="3A3BA26F" w:rsidR="00705E6B" w:rsidRDefault="50BE4957" w:rsidP="00705E6B">
      <w:pPr>
        <w:rPr>
          <w:sz w:val="32"/>
          <w:szCs w:val="32"/>
        </w:rPr>
      </w:pPr>
      <w:r w:rsidRPr="50BE4957">
        <w:rPr>
          <w:sz w:val="32"/>
          <w:szCs w:val="32"/>
        </w:rPr>
        <w:t xml:space="preserve"> Lynne Evans, Ian. D. Mitchell and Stuart Jones. 2006 Book Chapter – Psychological Response to Sport Injury by in the Book called </w:t>
      </w:r>
      <w:r w:rsidRPr="50BE4957">
        <w:rPr>
          <w:i/>
          <w:iCs/>
          <w:sz w:val="32"/>
          <w:szCs w:val="32"/>
        </w:rPr>
        <w:t>Literature reviews in Sport Psychology</w:t>
      </w:r>
      <w:r w:rsidRPr="50BE4957">
        <w:rPr>
          <w:sz w:val="32"/>
          <w:szCs w:val="32"/>
        </w:rPr>
        <w:t xml:space="preserve"> by Sheldon Hanton and Stephen.D.Mellalieu. Nova Science Publications. Hauppage, NY. Pages 289-319. </w:t>
      </w:r>
      <w:bookmarkStart w:id="0" w:name="_GoBack"/>
      <w:bookmarkEnd w:id="0"/>
    </w:p>
    <w:p w14:paraId="7E70BAB4" w14:textId="24787F52" w:rsidR="00705E6B" w:rsidRDefault="50BE4957" w:rsidP="50BE4957">
      <w:pPr>
        <w:rPr>
          <w:sz w:val="32"/>
          <w:szCs w:val="32"/>
        </w:rPr>
      </w:pPr>
      <w:r w:rsidRPr="50BE4957">
        <w:rPr>
          <w:sz w:val="32"/>
          <w:szCs w:val="32"/>
        </w:rPr>
        <w:t xml:space="preserve">Heidi Williamson. (12- 14 October 2016). Conference poster - Supporting adolescents struggling with appearance-altering conditions: the feasibility of using an online psychosocial intervention (YP Face IT) in primary care. Centre for Appearance Research, University of the West of England, Annual Primary Care Conference, Royal College of General Practitioners, </w:t>
      </w:r>
    </w:p>
    <w:p w14:paraId="583DA3BE" w14:textId="1D219E4E" w:rsidR="00705E6B" w:rsidRDefault="50BE4957" w:rsidP="50BE4957">
      <w:pPr>
        <w:rPr>
          <w:sz w:val="32"/>
          <w:szCs w:val="32"/>
        </w:rPr>
      </w:pPr>
      <w:r w:rsidRPr="50BE4957">
        <w:rPr>
          <w:sz w:val="32"/>
          <w:szCs w:val="32"/>
        </w:rPr>
        <w:t xml:space="preserve">(10 September 2017) </w:t>
      </w:r>
      <w:r w:rsidRPr="50BE4957">
        <w:rPr>
          <w:i/>
          <w:iCs/>
          <w:sz w:val="32"/>
          <w:szCs w:val="32"/>
        </w:rPr>
        <w:t>Computerised cognitive behavioural therapy Mental Health Foundation.</w:t>
      </w:r>
      <w:r w:rsidRPr="50BE4957">
        <w:rPr>
          <w:sz w:val="32"/>
          <w:szCs w:val="32"/>
        </w:rPr>
        <w:t xml:space="preserve"> (Audio podcast) </w:t>
      </w:r>
      <w:hyperlink r:id="rId11">
        <w:r w:rsidRPr="50BE4957">
          <w:rPr>
            <w:rStyle w:val="Hyperlink"/>
            <w:sz w:val="32"/>
            <w:szCs w:val="32"/>
          </w:rPr>
          <w:t>http://www.mentalhealth.org.uk/podcasts-and-videos/computerised-cognitivebehavioural-therapy</w:t>
        </w:r>
      </w:hyperlink>
    </w:p>
    <w:p w14:paraId="6846450F" w14:textId="115A263F" w:rsidR="00705E6B" w:rsidRDefault="50BE4957" w:rsidP="50BE4957">
      <w:pPr>
        <w:rPr>
          <w:sz w:val="32"/>
          <w:szCs w:val="32"/>
        </w:rPr>
      </w:pPr>
      <w:r w:rsidRPr="50BE4957">
        <w:rPr>
          <w:sz w:val="32"/>
          <w:szCs w:val="32"/>
        </w:rPr>
        <w:t>Danielle C Voigt, James P Dillaro, Kurt H Braddock, Jason W Anderson, Pradeep Sopory, Michael T Stephenson.</w:t>
      </w:r>
      <w:r>
        <w:t xml:space="preserve"> (</w:t>
      </w:r>
      <w:r w:rsidRPr="50BE4957">
        <w:rPr>
          <w:sz w:val="32"/>
          <w:szCs w:val="32"/>
        </w:rPr>
        <w:t xml:space="preserve">2009). “Carver and White’s (1994) BIS/BAS scales and their relationship to risky health behaviours. Issue 47, </w:t>
      </w:r>
      <w:r w:rsidRPr="50BE4957">
        <w:rPr>
          <w:i/>
          <w:iCs/>
          <w:sz w:val="32"/>
          <w:szCs w:val="32"/>
        </w:rPr>
        <w:t>Personality and individual differences</w:t>
      </w:r>
      <w:r w:rsidRPr="50BE4957">
        <w:rPr>
          <w:sz w:val="32"/>
          <w:szCs w:val="32"/>
        </w:rPr>
        <w:t xml:space="preserve">. Pages 89-93. </w:t>
      </w:r>
    </w:p>
    <w:p w14:paraId="7F1DEF75" w14:textId="69C32966" w:rsidR="00705E6B" w:rsidRDefault="50BE4957" w:rsidP="50BE4957">
      <w:pPr>
        <w:rPr>
          <w:sz w:val="32"/>
          <w:szCs w:val="32"/>
        </w:rPr>
      </w:pPr>
      <w:r w:rsidRPr="50BE4957">
        <w:rPr>
          <w:sz w:val="32"/>
          <w:szCs w:val="32"/>
        </w:rPr>
        <w:t xml:space="preserve">Davey, G. (2014) </w:t>
      </w:r>
      <w:r w:rsidRPr="50BE4957">
        <w:rPr>
          <w:i/>
          <w:iCs/>
          <w:sz w:val="32"/>
          <w:szCs w:val="32"/>
        </w:rPr>
        <w:t>Psychopathology: Research, Assessment, and Treatment in Clinical Psychology</w:t>
      </w:r>
      <w:r w:rsidRPr="50BE4957">
        <w:rPr>
          <w:sz w:val="32"/>
          <w:szCs w:val="32"/>
        </w:rPr>
        <w:t>. (2nd ed) Oxford, Blackwell.</w:t>
      </w:r>
    </w:p>
    <w:p w14:paraId="4B7F2C3A" w14:textId="00AD9EAD" w:rsidR="00705E6B" w:rsidRDefault="50BE4957" w:rsidP="50BE4957">
      <w:pPr>
        <w:rPr>
          <w:sz w:val="32"/>
          <w:szCs w:val="32"/>
        </w:rPr>
      </w:pPr>
      <w:r w:rsidRPr="50BE4957">
        <w:rPr>
          <w:sz w:val="32"/>
          <w:szCs w:val="32"/>
        </w:rPr>
        <w:t xml:space="preserve">Shemin Mohamed.(2011) Doctoral dissertation, </w:t>
      </w:r>
      <w:r w:rsidRPr="50BE4957">
        <w:rPr>
          <w:i/>
          <w:iCs/>
          <w:sz w:val="32"/>
          <w:szCs w:val="32"/>
        </w:rPr>
        <w:t>Stigma and mental illness: are there cultural differences?</w:t>
      </w:r>
      <w:r w:rsidRPr="50BE4957">
        <w:rPr>
          <w:sz w:val="32"/>
          <w:szCs w:val="32"/>
        </w:rPr>
        <w:t xml:space="preserve"> University of East Anglia, EThOS, uk.bl.ethos.573771</w:t>
      </w:r>
    </w:p>
    <w:p w14:paraId="75B55653" w14:textId="05FB976B" w:rsidR="00705E6B" w:rsidRPr="00705E6B" w:rsidRDefault="50BE4957" w:rsidP="50BE4957">
      <w:pPr>
        <w:rPr>
          <w:sz w:val="32"/>
          <w:szCs w:val="32"/>
        </w:rPr>
      </w:pPr>
      <w:r w:rsidRPr="50BE4957">
        <w:rPr>
          <w:sz w:val="32"/>
          <w:szCs w:val="32"/>
        </w:rPr>
        <w:t xml:space="preserve">Erin M Hill. The role of narcissism in health-risk and health-protective behaviors. </w:t>
      </w:r>
      <w:r w:rsidRPr="50BE4957">
        <w:rPr>
          <w:i/>
          <w:iCs/>
          <w:sz w:val="32"/>
          <w:szCs w:val="32"/>
        </w:rPr>
        <w:t>Journal of health psychology</w:t>
      </w:r>
      <w:r w:rsidRPr="50BE4957">
        <w:rPr>
          <w:sz w:val="32"/>
          <w:szCs w:val="32"/>
        </w:rPr>
        <w:t>. 1-12. (2015). DOI: 10.1177/1359105315569858</w:t>
      </w:r>
    </w:p>
    <w:p w14:paraId="41EC9D18" w14:textId="42695ACF" w:rsidR="00705E6B" w:rsidRPr="00705E6B" w:rsidRDefault="50BE4957" w:rsidP="50BE4957">
      <w:pPr>
        <w:rPr>
          <w:sz w:val="32"/>
          <w:szCs w:val="32"/>
        </w:rPr>
      </w:pPr>
      <w:r w:rsidRPr="50BE4957">
        <w:rPr>
          <w:sz w:val="32"/>
          <w:szCs w:val="32"/>
        </w:rPr>
        <w:t xml:space="preserve">G. Mazetti, W. B Schaufeli and D. Guglielmi.(2014) </w:t>
      </w:r>
      <w:r w:rsidRPr="50BE4957">
        <w:rPr>
          <w:i/>
          <w:iCs/>
          <w:sz w:val="32"/>
          <w:szCs w:val="32"/>
        </w:rPr>
        <w:t>International journal of stress management.</w:t>
      </w:r>
      <w:r w:rsidRPr="50BE4957">
        <w:rPr>
          <w:sz w:val="32"/>
          <w:szCs w:val="32"/>
        </w:rPr>
        <w:t xml:space="preserve"> Volume 23, issue 3. Are workaholics born or made? Relations of workaholism with person characteristics and overwork climate. 227-254. </w:t>
      </w:r>
    </w:p>
    <w:p w14:paraId="2D538BF8" w14:textId="77777777" w:rsidR="00705E6B" w:rsidRPr="00705E6B" w:rsidRDefault="00705E6B" w:rsidP="00705E6B">
      <w:pPr>
        <w:rPr>
          <w:sz w:val="32"/>
          <w:szCs w:val="32"/>
        </w:rPr>
      </w:pPr>
    </w:p>
    <w:p w14:paraId="5D69AB09" w14:textId="6D56BE58" w:rsidR="00705E6B" w:rsidRPr="00705E6B" w:rsidRDefault="50BE4957" w:rsidP="50BE4957">
      <w:pPr>
        <w:rPr>
          <w:sz w:val="32"/>
          <w:szCs w:val="32"/>
        </w:rPr>
      </w:pPr>
      <w:r w:rsidRPr="50BE4957">
        <w:rPr>
          <w:sz w:val="32"/>
          <w:szCs w:val="32"/>
        </w:rPr>
        <w:t>Kate Hefferon and Ilona Boniwell. (2011)Positive psychology: theory, research and applications. Open University Press. New York, New York.</w:t>
      </w:r>
    </w:p>
    <w:p w14:paraId="50FED9E8" w14:textId="43FDC70E" w:rsidR="00705E6B" w:rsidRPr="00705E6B" w:rsidRDefault="50BE4957" w:rsidP="50BE4957">
      <w:pPr>
        <w:rPr>
          <w:sz w:val="32"/>
          <w:szCs w:val="32"/>
        </w:rPr>
      </w:pPr>
      <w:r w:rsidRPr="50BE4957">
        <w:rPr>
          <w:sz w:val="32"/>
          <w:szCs w:val="32"/>
        </w:rPr>
        <w:t xml:space="preserve">Phelps, Ceri, Masoumeh Minou, Andrew Baker, Carol Hughes, Helen French, Wayne Hawkins, Andrew Leeuwenberg, Rebecca Crabtree, and Paul B. Hutchings. (2017)"Necessary but not sufficient? Engaging young people in the development of an avatar‐based online intervention designed to provide psychosocial support to young people affected by their own or a family member's cancer diagnosis." Health Expectations 20, no. 3, pp. 459-470. </w:t>
      </w:r>
    </w:p>
    <w:p w14:paraId="2D70D755" w14:textId="58CE6F3A" w:rsidR="00705E6B" w:rsidRDefault="50BE4957" w:rsidP="50BE4957">
      <w:pPr>
        <w:rPr>
          <w:sz w:val="32"/>
          <w:szCs w:val="32"/>
        </w:rPr>
      </w:pPr>
      <w:r w:rsidRPr="50BE4957">
        <w:rPr>
          <w:sz w:val="32"/>
          <w:szCs w:val="32"/>
        </w:rPr>
        <w:t xml:space="preserve">Geekie, J., &amp; Read, J. (2009). </w:t>
      </w:r>
      <w:r w:rsidRPr="50BE4957">
        <w:rPr>
          <w:i/>
          <w:iCs/>
          <w:sz w:val="32"/>
          <w:szCs w:val="32"/>
        </w:rPr>
        <w:t>Making sense of madness: Contesting the meaning of schizophrenia</w:t>
      </w:r>
      <w:r w:rsidRPr="50BE4957">
        <w:rPr>
          <w:sz w:val="32"/>
          <w:szCs w:val="32"/>
        </w:rPr>
        <w:t>. London: Routledge Taylor &amp; Francis.</w:t>
      </w:r>
    </w:p>
    <w:p w14:paraId="5BFA8C5F" w14:textId="0799AC3A" w:rsidR="00705E6B" w:rsidRPr="00705E6B" w:rsidRDefault="00705E6B" w:rsidP="00705E6B">
      <w:pPr>
        <w:rPr>
          <w:sz w:val="32"/>
          <w:szCs w:val="32"/>
        </w:rPr>
      </w:pPr>
      <w:r w:rsidRPr="00705E6B">
        <w:rPr>
          <w:sz w:val="32"/>
          <w:szCs w:val="32"/>
        </w:rPr>
        <w:t>(E-book). http://www.tandfebooks.com/doi/view/10.4324/9780203878422</w:t>
      </w:r>
    </w:p>
    <w:p w14:paraId="1E49385F" w14:textId="28231F49" w:rsidR="00705E6B" w:rsidRDefault="00705E6B" w:rsidP="00705E6B">
      <w:pPr>
        <w:rPr>
          <w:sz w:val="32"/>
          <w:szCs w:val="32"/>
        </w:rPr>
      </w:pPr>
      <w:r w:rsidRPr="00705E6B">
        <w:rPr>
          <w:sz w:val="32"/>
          <w:szCs w:val="32"/>
        </w:rPr>
        <w:t>Oral presentation - Families experience of Poverty Stigma in Education. British Psychological Society, 9 – 11 September, 2015, Developmental Psychology Section, Suzanne Day, University of Central Lancashire. Psychology 46, no. 6 (2016): 369-375.</w:t>
      </w:r>
    </w:p>
    <w:p w14:paraId="2EBAC2D1" w14:textId="017F6CD4" w:rsidR="00705E6B" w:rsidRDefault="00705E6B" w:rsidP="00705E6B">
      <w:pPr>
        <w:rPr>
          <w:sz w:val="32"/>
          <w:szCs w:val="32"/>
        </w:rPr>
      </w:pPr>
      <w:r w:rsidRPr="00705E6B">
        <w:rPr>
          <w:sz w:val="32"/>
          <w:szCs w:val="32"/>
        </w:rPr>
        <w:t>Paul Bennett. (2011). 3rd edition. Abnormal and clinical psychology: an introductory textbook. Berkshire: Open university press.</w:t>
      </w:r>
    </w:p>
    <w:p w14:paraId="71434255" w14:textId="29FE51D9" w:rsidR="00705E6B" w:rsidRDefault="00705E6B" w:rsidP="00705E6B">
      <w:pPr>
        <w:rPr>
          <w:sz w:val="32"/>
          <w:szCs w:val="32"/>
        </w:rPr>
      </w:pPr>
      <w:r w:rsidRPr="00705E6B">
        <w:rPr>
          <w:sz w:val="32"/>
          <w:szCs w:val="32"/>
        </w:rPr>
        <w:t>Pal Ulleberg and Torbjorn Rundmo. 2003. ‘Personality, attitudes and risk perception as predictors of risky driving behaviour among young drivers.’ Safety Science, 41, 427-443.</w:t>
      </w:r>
    </w:p>
    <w:p w14:paraId="3A1EA7E0" w14:textId="40D7B547" w:rsidR="00705E6B" w:rsidRDefault="00705E6B" w:rsidP="00705E6B">
      <w:pPr>
        <w:rPr>
          <w:sz w:val="32"/>
          <w:szCs w:val="32"/>
        </w:rPr>
      </w:pPr>
      <w:r w:rsidRPr="00705E6B">
        <w:rPr>
          <w:sz w:val="32"/>
          <w:szCs w:val="32"/>
        </w:rPr>
        <w:t>Role playing: Applications in hostage and crisis negotiation skills training. Vincent B Van Hasselt, Stephen J Romano, Gregory M Vecchi. 2008. 248-263. Behavior Modification, Volume 32, issue 2. DOI: 10.1177/0145445507308281</w:t>
      </w:r>
    </w:p>
    <w:p w14:paraId="76D7C4B4" w14:textId="384D4AD0" w:rsidR="007F2226" w:rsidRDefault="007F2226" w:rsidP="00705E6B">
      <w:pPr>
        <w:rPr>
          <w:sz w:val="32"/>
          <w:szCs w:val="32"/>
        </w:rPr>
      </w:pPr>
      <w:r w:rsidRPr="007F2226">
        <w:rPr>
          <w:sz w:val="32"/>
          <w:szCs w:val="32"/>
        </w:rPr>
        <w:t xml:space="preserve">September 18, 2017, Women know better than men what other women are thinking and feeling, Research Digest, The British Psychological Society, Emma Young, </w:t>
      </w:r>
      <w:hyperlink r:id="rId12" w:history="1">
        <w:r w:rsidRPr="009F26DB">
          <w:rPr>
            <w:rStyle w:val="Hyperlink"/>
            <w:sz w:val="32"/>
            <w:szCs w:val="32"/>
          </w:rPr>
          <w:t>https://digest.bps.org.uk/2017/09/18/women-know-better-than-menwhat-other-women-are-thinking-and-feeling/</w:t>
        </w:r>
      </w:hyperlink>
    </w:p>
    <w:p w14:paraId="15289C0E" w14:textId="06848C72" w:rsidR="007F2226" w:rsidRPr="00705E6B" w:rsidRDefault="007F2226" w:rsidP="00705E6B">
      <w:pPr>
        <w:rPr>
          <w:sz w:val="32"/>
          <w:szCs w:val="32"/>
        </w:rPr>
      </w:pPr>
      <w:r w:rsidRPr="007F2226">
        <w:rPr>
          <w:sz w:val="32"/>
          <w:szCs w:val="32"/>
        </w:rPr>
        <w:t>2006. The acceptability and preference for the psychological treatment of PTSD. Nicholas Tarrier, Tom Liversidge, Lynsey Gregg. Behaviour, research and therapy. 44, pp. 1643-1656.</w:t>
      </w:r>
    </w:p>
    <w:p w14:paraId="70C0D4C9" w14:textId="6A00F623" w:rsidR="00705E6B" w:rsidRPr="00705E6B" w:rsidRDefault="00705E6B" w:rsidP="00705E6B">
      <w:pPr>
        <w:rPr>
          <w:sz w:val="32"/>
          <w:szCs w:val="32"/>
        </w:rPr>
      </w:pPr>
      <w:r w:rsidRPr="00705E6B">
        <w:rPr>
          <w:sz w:val="32"/>
          <w:szCs w:val="32"/>
        </w:rPr>
        <w:t xml:space="preserve">Vartanian, Lenny R., Tara Trewartha, and Eric J. Vanman. "Disgust predicts prejudice and discrimination toward individuals with obesity." Journal of Applied Social Psychology 46, no. 6 (2016): 369-375. </w:t>
      </w:r>
      <w:bookmarkStart w:id="1" w:name="_Hlk21945866"/>
    </w:p>
    <w:bookmarkEnd w:id="1"/>
    <w:p w14:paraId="0F9690EF" w14:textId="5D843A96" w:rsidR="00705E6B" w:rsidRPr="00705E6B" w:rsidRDefault="00705E6B" w:rsidP="00705E6B">
      <w:pPr>
        <w:rPr>
          <w:sz w:val="32"/>
          <w:szCs w:val="32"/>
        </w:rPr>
      </w:pPr>
      <w:r w:rsidRPr="00705E6B">
        <w:rPr>
          <w:sz w:val="32"/>
          <w:szCs w:val="32"/>
        </w:rPr>
        <w:t>Well-being of future generations (Wales) act 2015. Welsh Government. United Kingdom: The Office Stationary Limited.</w:t>
      </w:r>
    </w:p>
    <w:p w14:paraId="2DF1DF52" w14:textId="77777777" w:rsidR="00705E6B" w:rsidRDefault="00705E6B" w:rsidP="0A061E80">
      <w:pPr>
        <w:rPr>
          <w:sz w:val="32"/>
          <w:szCs w:val="32"/>
        </w:rPr>
      </w:pPr>
    </w:p>
    <w:sectPr w:rsidR="00705E6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FA435B" w14:textId="77777777" w:rsidR="00A70197" w:rsidRDefault="007F2226">
      <w:pPr>
        <w:spacing w:after="0" w:line="240" w:lineRule="auto"/>
      </w:pPr>
      <w:r>
        <w:separator/>
      </w:r>
    </w:p>
  </w:endnote>
  <w:endnote w:type="continuationSeparator" w:id="0">
    <w:p w14:paraId="4ECE6A8A" w14:textId="77777777" w:rsidR="00A70197" w:rsidRDefault="007F2226">
      <w:pPr>
        <w:spacing w:after="0" w:line="240" w:lineRule="auto"/>
      </w:pPr>
      <w:r>
        <w:continuationSeparator/>
      </w:r>
    </w:p>
  </w:endnote>
  <w:endnote w:type="continuationNotice" w:id="1">
    <w:p w14:paraId="6BB5719B" w14:textId="77777777" w:rsidR="0068193A" w:rsidRDefault="006819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EC444A" w14:textId="77777777" w:rsidR="007F2226" w:rsidRDefault="007F22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0A061E80" w14:paraId="7601AB5C" w14:textId="77777777" w:rsidTr="0A061E80">
      <w:tc>
        <w:tcPr>
          <w:tcW w:w="3009" w:type="dxa"/>
        </w:tcPr>
        <w:p w14:paraId="5926B18F" w14:textId="5F9800E1" w:rsidR="0A061E80" w:rsidRDefault="0A061E80" w:rsidP="0A061E80">
          <w:pPr>
            <w:pStyle w:val="Header"/>
            <w:ind w:left="-115"/>
          </w:pPr>
        </w:p>
      </w:tc>
      <w:tc>
        <w:tcPr>
          <w:tcW w:w="3009" w:type="dxa"/>
        </w:tcPr>
        <w:p w14:paraId="1C2C6255" w14:textId="251150A0" w:rsidR="0A061E80" w:rsidRDefault="0A061E80" w:rsidP="0A061E80">
          <w:pPr>
            <w:pStyle w:val="Header"/>
            <w:jc w:val="center"/>
          </w:pPr>
        </w:p>
      </w:tc>
      <w:tc>
        <w:tcPr>
          <w:tcW w:w="3009" w:type="dxa"/>
        </w:tcPr>
        <w:p w14:paraId="2C4A7020" w14:textId="5BC6A4DE" w:rsidR="0A061E80" w:rsidRDefault="0A061E80" w:rsidP="0A061E80">
          <w:pPr>
            <w:pStyle w:val="Header"/>
            <w:ind w:right="-115"/>
            <w:jc w:val="right"/>
          </w:pPr>
        </w:p>
      </w:tc>
    </w:tr>
  </w:tbl>
  <w:p w14:paraId="425558FE" w14:textId="03FB7A4E" w:rsidR="0A061E80" w:rsidRDefault="0A061E80" w:rsidP="0A061E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4F6044" w14:textId="77777777" w:rsidR="007F2226" w:rsidRDefault="007F22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1F737A" w14:textId="77777777" w:rsidR="00A70197" w:rsidRDefault="007F2226">
      <w:pPr>
        <w:spacing w:after="0" w:line="240" w:lineRule="auto"/>
      </w:pPr>
      <w:r>
        <w:separator/>
      </w:r>
    </w:p>
  </w:footnote>
  <w:footnote w:type="continuationSeparator" w:id="0">
    <w:p w14:paraId="0CFA3F90" w14:textId="77777777" w:rsidR="00A70197" w:rsidRDefault="007F2226">
      <w:pPr>
        <w:spacing w:after="0" w:line="240" w:lineRule="auto"/>
      </w:pPr>
      <w:r>
        <w:continuationSeparator/>
      </w:r>
    </w:p>
  </w:footnote>
  <w:footnote w:type="continuationNotice" w:id="1">
    <w:p w14:paraId="076CC72C" w14:textId="77777777" w:rsidR="0068193A" w:rsidRDefault="0068193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E3BCAC" w14:textId="77777777" w:rsidR="007F2226" w:rsidRDefault="007F22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0A061E80" w14:paraId="066FFD75" w14:textId="77777777" w:rsidTr="0A061E80">
      <w:tc>
        <w:tcPr>
          <w:tcW w:w="3009" w:type="dxa"/>
        </w:tcPr>
        <w:p w14:paraId="25C35BD2" w14:textId="77777777" w:rsidR="0A061E80" w:rsidRPr="007F2226" w:rsidRDefault="007F2226" w:rsidP="0A061E80">
          <w:pPr>
            <w:pStyle w:val="Header"/>
            <w:ind w:left="-115"/>
            <w:rPr>
              <w:sz w:val="28"/>
            </w:rPr>
          </w:pPr>
          <w:r w:rsidRPr="007F2226">
            <w:rPr>
              <w:sz w:val="28"/>
            </w:rPr>
            <w:t xml:space="preserve">Ikran Ali </w:t>
          </w:r>
        </w:p>
        <w:p w14:paraId="22E5A9DB" w14:textId="7C0C4697" w:rsidR="007F2226" w:rsidRDefault="007F2226" w:rsidP="0A061E80">
          <w:pPr>
            <w:pStyle w:val="Header"/>
            <w:ind w:left="-115"/>
          </w:pPr>
        </w:p>
      </w:tc>
      <w:tc>
        <w:tcPr>
          <w:tcW w:w="3009" w:type="dxa"/>
        </w:tcPr>
        <w:p w14:paraId="1955CE53" w14:textId="04AFA11E" w:rsidR="0A061E80" w:rsidRDefault="0A061E80" w:rsidP="0A061E80">
          <w:pPr>
            <w:pStyle w:val="Header"/>
            <w:jc w:val="center"/>
          </w:pPr>
        </w:p>
      </w:tc>
      <w:tc>
        <w:tcPr>
          <w:tcW w:w="3009" w:type="dxa"/>
        </w:tcPr>
        <w:p w14:paraId="51DB06EA" w14:textId="39188C91" w:rsidR="0A061E80" w:rsidRDefault="0A061E80" w:rsidP="0A061E80">
          <w:pPr>
            <w:pStyle w:val="Header"/>
            <w:ind w:right="-115"/>
            <w:jc w:val="right"/>
          </w:pPr>
        </w:p>
      </w:tc>
    </w:tr>
    <w:tr w:rsidR="007F2226" w14:paraId="3B603A71" w14:textId="77777777" w:rsidTr="0A061E80">
      <w:tc>
        <w:tcPr>
          <w:tcW w:w="3009" w:type="dxa"/>
        </w:tcPr>
        <w:p w14:paraId="4CB7973F" w14:textId="77777777" w:rsidR="007F2226" w:rsidRDefault="007F2226" w:rsidP="0A061E80">
          <w:pPr>
            <w:pStyle w:val="Header"/>
            <w:ind w:left="-115"/>
          </w:pPr>
        </w:p>
      </w:tc>
      <w:tc>
        <w:tcPr>
          <w:tcW w:w="3009" w:type="dxa"/>
        </w:tcPr>
        <w:p w14:paraId="3A321FE2" w14:textId="77777777" w:rsidR="007F2226" w:rsidRDefault="007F2226" w:rsidP="0A061E80">
          <w:pPr>
            <w:pStyle w:val="Header"/>
            <w:jc w:val="center"/>
          </w:pPr>
        </w:p>
      </w:tc>
      <w:tc>
        <w:tcPr>
          <w:tcW w:w="3009" w:type="dxa"/>
        </w:tcPr>
        <w:p w14:paraId="2FFDEC55" w14:textId="77777777" w:rsidR="007F2226" w:rsidRDefault="007F2226" w:rsidP="0A061E80">
          <w:pPr>
            <w:pStyle w:val="Header"/>
            <w:ind w:right="-115"/>
            <w:jc w:val="right"/>
          </w:pPr>
        </w:p>
      </w:tc>
    </w:tr>
  </w:tbl>
  <w:p w14:paraId="67F75DFD" w14:textId="30A3BCEF" w:rsidR="0A061E80" w:rsidRDefault="0A061E80" w:rsidP="0A061E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410716" w14:textId="77777777" w:rsidR="007F2226" w:rsidRDefault="007F22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8332C36"/>
    <w:rsid w:val="00146C96"/>
    <w:rsid w:val="002A3538"/>
    <w:rsid w:val="002D14FE"/>
    <w:rsid w:val="005F6843"/>
    <w:rsid w:val="0068193A"/>
    <w:rsid w:val="00705E6B"/>
    <w:rsid w:val="007F2226"/>
    <w:rsid w:val="00A70197"/>
    <w:rsid w:val="00B52783"/>
    <w:rsid w:val="00C20783"/>
    <w:rsid w:val="00C85D0A"/>
    <w:rsid w:val="00D26B38"/>
    <w:rsid w:val="0A061E80"/>
    <w:rsid w:val="50BE4957"/>
    <w:rsid w:val="66945DCE"/>
    <w:rsid w:val="78332C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32C36"/>
  <w15:chartTrackingRefBased/>
  <w15:docId w15:val="{20B0EC84-09D8-4158-93D4-0CDFE989D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sid w:val="00705E6B"/>
    <w:rPr>
      <w:color w:val="0563C1" w:themeColor="hyperlink"/>
      <w:u w:val="single"/>
    </w:rPr>
  </w:style>
  <w:style w:type="character" w:styleId="UnresolvedMention">
    <w:name w:val="Unresolved Mention"/>
    <w:basedOn w:val="DefaultParagraphFont"/>
    <w:uiPriority w:val="99"/>
    <w:semiHidden/>
    <w:unhideWhenUsed/>
    <w:rsid w:val="00705E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igest.bps.org.uk/2017/09/18/women-know-better-than-menwhat-other-women-are-thinking-and-feeling/"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mentalhealth.org.uk/podcasts-and-videos/computerised-cognitivebehavioural-therapy"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ons.gov.uk/peoplepopulationandcommunity/healthandsocialcare/drugusealcoholandsmoking/bulletins/opinionsandlifestylesurveyadultdrinkinghabit%20singreatbritain/2005to2016"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175C38-5A6C-4007-B29B-C93502EB62FD}">
  <ds:schemaRefs>
    <ds:schemaRef ds:uri="http://schemas.microsoft.com/office/2006/metadata/properties"/>
    <ds:schemaRef ds:uri="http://www.w3.org/2000/xmlns/"/>
    <ds:schemaRef ds:uri="http://schemas.microsoft.com/office/infopath/2007/PartnerControls"/>
  </ds:schemaRefs>
</ds:datastoreItem>
</file>

<file path=customXml/itemProps2.xml><?xml version="1.0" encoding="utf-8"?>
<ds:datastoreItem xmlns:ds="http://schemas.openxmlformats.org/officeDocument/2006/customXml" ds:itemID="{D8809658-E969-4899-9F32-98DB09BCDA6D}">
  <ds:schemaRefs>
    <ds:schemaRef ds:uri="http://schemas.microsoft.com/office/2006/metadata/contentType"/>
    <ds:schemaRef ds:uri="http://schemas.microsoft.com/office/2006/metadata/properties/metaAttributes"/>
    <ds:schemaRef ds:uri="http://www.w3.org/2000/xmlns/"/>
    <ds:schemaRef ds:uri="http://www.w3.org/2001/XMLSchema"/>
    <ds:schemaRef ds:uri="9d0d5cce-d4dc-4043-8325-c992d2f588cd"/>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616186-1C9B-4B65-A846-3500246C2B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1597</Words>
  <Characters>9109</Characters>
  <Application>Microsoft Office Word</Application>
  <DocSecurity>4</DocSecurity>
  <Lines>75</Lines>
  <Paragraphs>21</Paragraphs>
  <ScaleCrop>false</ScaleCrop>
  <Company/>
  <LinksUpToDate>false</LinksUpToDate>
  <CharactersWithSpaces>10685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Ikran Ali (1902086)</dc:creator>
  <cp:keywords/>
  <dc:description/>
  <cp:lastModifiedBy>Ikran Ali (1902086)</cp:lastModifiedBy>
  <cp:revision>6</cp:revision>
  <dcterms:created xsi:type="dcterms:W3CDTF">2019-10-14T19:24:00Z</dcterms:created>
  <dcterms:modified xsi:type="dcterms:W3CDTF">2019-10-16T06:48:00Z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