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A05CD" w:rsidP="20A9D5E7" w:rsidRDefault="008A05CD" w14:paraId="6D912FE5" w14:textId="3122F58B">
      <w:pPr>
        <w:spacing w:line="360" w:lineRule="auto"/>
        <w:jc w:val="center"/>
        <w:rPr>
          <w:rFonts w:ascii="Arial" w:hAnsi="Arial" w:eastAsia="Arial" w:cs="Arial"/>
          <w:b w:val="0"/>
          <w:bCs w:val="0"/>
          <w:sz w:val="24"/>
          <w:szCs w:val="24"/>
        </w:rPr>
      </w:pPr>
      <w:r w:rsidRPr="20A9D5E7" w:rsidR="629A9CFE">
        <w:rPr>
          <w:rFonts w:ascii="Arial" w:hAnsi="Arial" w:eastAsia="Arial" w:cs="Arial"/>
          <w:b w:val="0"/>
          <w:bCs w:val="0"/>
          <w:sz w:val="24"/>
          <w:szCs w:val="24"/>
          <w:u w:val="single"/>
        </w:rPr>
        <w:t>Name</w:t>
      </w:r>
      <w:r w:rsidRPr="20A9D5E7" w:rsidR="629A9CFE">
        <w:rPr>
          <w:rFonts w:ascii="Arial" w:hAnsi="Arial" w:eastAsia="Arial" w:cs="Arial"/>
          <w:b w:val="0"/>
          <w:bCs w:val="0"/>
          <w:sz w:val="24"/>
          <w:szCs w:val="24"/>
        </w:rPr>
        <w:t>:</w:t>
      </w:r>
      <w:r w:rsidRPr="20A9D5E7" w:rsidR="706FFFBC">
        <w:rPr>
          <w:rFonts w:ascii="Arial" w:hAnsi="Arial" w:eastAsia="Arial" w:cs="Arial"/>
          <w:b w:val="0"/>
          <w:bCs w:val="0"/>
          <w:sz w:val="24"/>
          <w:szCs w:val="24"/>
        </w:rPr>
        <w:t xml:space="preserve"> </w:t>
      </w:r>
      <w:r w:rsidRPr="20A9D5E7" w:rsidR="00EB597F">
        <w:rPr>
          <w:rFonts w:ascii="Arial" w:hAnsi="Arial" w:eastAsia="Arial" w:cs="Arial"/>
          <w:b w:val="1"/>
          <w:bCs w:val="1"/>
          <w:sz w:val="32"/>
          <w:szCs w:val="32"/>
        </w:rPr>
        <w:t>Rosiane Hatchodji T</w:t>
      </w:r>
      <w:r w:rsidRPr="20A9D5E7" w:rsidR="00EB597F">
        <w:rPr>
          <w:rFonts w:ascii="Arial" w:hAnsi="Arial" w:eastAsia="Arial" w:cs="Arial"/>
          <w:b w:val="1"/>
          <w:bCs w:val="1"/>
          <w:sz w:val="32"/>
          <w:szCs w:val="32"/>
        </w:rPr>
        <w:t xml:space="preserve">choumte Epse </w:t>
      </w:r>
      <w:r w:rsidRPr="20A9D5E7" w:rsidR="6DEB616C">
        <w:rPr>
          <w:rFonts w:ascii="Arial" w:hAnsi="Arial" w:eastAsia="Arial" w:cs="Arial"/>
          <w:b w:val="1"/>
          <w:bCs w:val="1"/>
          <w:sz w:val="32"/>
          <w:szCs w:val="32"/>
        </w:rPr>
        <w:t>Tchounkeu</w:t>
      </w:r>
    </w:p>
    <w:p w:rsidR="008A05CD" w:rsidP="20A9D5E7" w:rsidRDefault="008A05CD" w14:paraId="0CD1C9F5" w14:textId="473DC516">
      <w:pPr>
        <w:spacing w:line="360" w:lineRule="auto"/>
        <w:jc w:val="center"/>
        <w:rPr>
          <w:rFonts w:ascii="Arial" w:hAnsi="Arial" w:eastAsia="Arial" w:cs="Arial"/>
          <w:b w:val="1"/>
          <w:bCs w:val="1"/>
          <w:sz w:val="32"/>
          <w:szCs w:val="32"/>
        </w:rPr>
      </w:pPr>
      <w:r w:rsidRPr="20A9D5E7" w:rsidR="6DEB616C">
        <w:rPr>
          <w:rFonts w:ascii="Arial" w:hAnsi="Arial" w:eastAsia="Arial" w:cs="Arial"/>
          <w:b w:val="0"/>
          <w:bCs w:val="0"/>
          <w:sz w:val="24"/>
          <w:szCs w:val="24"/>
          <w:u w:val="single"/>
        </w:rPr>
        <w:t>Student Number:</w:t>
      </w:r>
      <w:r w:rsidRPr="20A9D5E7" w:rsidR="6DEB616C">
        <w:rPr>
          <w:rFonts w:ascii="Arial" w:hAnsi="Arial" w:eastAsia="Arial" w:cs="Arial"/>
          <w:b w:val="1"/>
          <w:bCs w:val="1"/>
          <w:sz w:val="32"/>
          <w:szCs w:val="32"/>
        </w:rPr>
        <w:t xml:space="preserve"> 2439419</w:t>
      </w:r>
    </w:p>
    <w:p w:rsidR="008A05CD" w:rsidP="20A9D5E7" w:rsidRDefault="008A05CD" w14:paraId="56747FD6" w14:textId="5ECD212B">
      <w:pPr>
        <w:spacing w:line="360" w:lineRule="auto"/>
        <w:jc w:val="center"/>
        <w:rPr>
          <w:rFonts w:ascii="Arial" w:hAnsi="Arial" w:eastAsia="Arial" w:cs="Arial"/>
          <w:b w:val="1"/>
          <w:bCs w:val="1"/>
          <w:sz w:val="32"/>
          <w:szCs w:val="32"/>
        </w:rPr>
      </w:pPr>
      <w:r w:rsidRPr="20A9D5E7" w:rsidR="6DEB616C">
        <w:rPr>
          <w:rFonts w:ascii="Arial" w:hAnsi="Arial" w:eastAsia="Arial" w:cs="Arial"/>
          <w:b w:val="0"/>
          <w:bCs w:val="0"/>
          <w:sz w:val="24"/>
          <w:szCs w:val="24"/>
          <w:u w:val="single"/>
        </w:rPr>
        <w:t>Module code and title:</w:t>
      </w:r>
      <w:r w:rsidRPr="20A9D5E7" w:rsidR="6DEB616C">
        <w:rPr>
          <w:rFonts w:ascii="Arial" w:hAnsi="Arial" w:eastAsia="Arial" w:cs="Arial"/>
          <w:b w:val="1"/>
          <w:bCs w:val="1"/>
          <w:sz w:val="32"/>
          <w:szCs w:val="32"/>
        </w:rPr>
        <w:t xml:space="preserve"> BMHP5023</w:t>
      </w:r>
    </w:p>
    <w:p w:rsidR="008A05CD" w:rsidP="742B6BDB" w:rsidRDefault="008A05CD" w14:paraId="4846231E" w14:textId="66E5D05E">
      <w:pPr>
        <w:spacing w:line="360" w:lineRule="auto"/>
        <w:jc w:val="center"/>
        <w:rPr>
          <w:rFonts w:ascii="Arial" w:hAnsi="Arial" w:eastAsia="Arial" w:cs="Arial"/>
          <w:b w:val="1"/>
          <w:bCs w:val="1"/>
          <w:sz w:val="32"/>
          <w:szCs w:val="32"/>
        </w:rPr>
      </w:pPr>
      <w:r w:rsidRPr="20A9D5E7" w:rsidR="6DEB616C">
        <w:rPr>
          <w:rFonts w:ascii="Arial" w:hAnsi="Arial" w:eastAsia="Arial" w:cs="Arial"/>
          <w:b w:val="1"/>
          <w:bCs w:val="1"/>
          <w:sz w:val="32"/>
          <w:szCs w:val="32"/>
        </w:rPr>
        <w:t>Introduction to Physiology: Case Study Report</w:t>
      </w:r>
    </w:p>
    <w:p w:rsidR="08EDF79E" w:rsidP="20A9D5E7" w:rsidRDefault="08EDF79E" w14:paraId="48E4DC75" w14:textId="4EA02E3A">
      <w:pPr>
        <w:spacing w:line="360" w:lineRule="auto"/>
        <w:jc w:val="center"/>
        <w:rPr>
          <w:rFonts w:ascii="Arial" w:hAnsi="Arial" w:eastAsia="Arial" w:cs="Arial"/>
          <w:b w:val="1"/>
          <w:bCs w:val="1"/>
          <w:sz w:val="32"/>
          <w:szCs w:val="32"/>
        </w:rPr>
      </w:pPr>
      <w:r w:rsidRPr="20A9D5E7" w:rsidR="08EDF79E">
        <w:rPr>
          <w:rFonts w:ascii="Arial" w:hAnsi="Arial" w:eastAsia="Arial" w:cs="Arial"/>
          <w:b w:val="0"/>
          <w:bCs w:val="0"/>
          <w:sz w:val="24"/>
          <w:szCs w:val="24"/>
          <w:u w:val="single"/>
        </w:rPr>
        <w:t>Lecturer:</w:t>
      </w:r>
      <w:r w:rsidRPr="20A9D5E7" w:rsidR="08EDF79E">
        <w:rPr>
          <w:rFonts w:ascii="Arial" w:hAnsi="Arial" w:eastAsia="Arial" w:cs="Arial"/>
          <w:b w:val="1"/>
          <w:bCs w:val="1"/>
          <w:sz w:val="32"/>
          <w:szCs w:val="32"/>
        </w:rPr>
        <w:t xml:space="preserve"> Mrs Gillian Weaver</w:t>
      </w:r>
    </w:p>
    <w:p w:rsidR="20A9D5E7" w:rsidP="20A9D5E7" w:rsidRDefault="20A9D5E7" w14:paraId="21607C2B" w14:textId="15A5065A">
      <w:pPr>
        <w:spacing w:line="360" w:lineRule="auto"/>
        <w:jc w:val="center"/>
        <w:rPr>
          <w:rFonts w:ascii="Arial" w:hAnsi="Arial" w:eastAsia="Arial" w:cs="Arial"/>
          <w:b w:val="1"/>
          <w:bCs w:val="1"/>
          <w:sz w:val="32"/>
          <w:szCs w:val="32"/>
        </w:rPr>
      </w:pPr>
    </w:p>
    <w:p w:rsidR="20A9D5E7" w:rsidP="20A9D5E7" w:rsidRDefault="20A9D5E7" w14:paraId="5328238E" w14:textId="35D40D91">
      <w:pPr>
        <w:spacing w:line="360" w:lineRule="auto"/>
        <w:jc w:val="center"/>
        <w:rPr>
          <w:rFonts w:ascii="Arial" w:hAnsi="Arial" w:eastAsia="Arial" w:cs="Arial"/>
          <w:b w:val="1"/>
          <w:bCs w:val="1"/>
          <w:sz w:val="32"/>
          <w:szCs w:val="32"/>
        </w:rPr>
      </w:pPr>
    </w:p>
    <w:p w:rsidR="20A9D5E7" w:rsidP="20A9D5E7" w:rsidRDefault="20A9D5E7" w14:paraId="2C9A6F25" w14:textId="332EEE0B">
      <w:pPr>
        <w:spacing w:line="360" w:lineRule="auto"/>
        <w:jc w:val="center"/>
        <w:rPr>
          <w:rFonts w:ascii="Arial" w:hAnsi="Arial" w:eastAsia="Arial" w:cs="Arial"/>
          <w:b w:val="1"/>
          <w:bCs w:val="1"/>
          <w:sz w:val="32"/>
          <w:szCs w:val="32"/>
        </w:rPr>
      </w:pPr>
    </w:p>
    <w:p w:rsidR="20A9D5E7" w:rsidP="20A9D5E7" w:rsidRDefault="20A9D5E7" w14:paraId="65199846" w14:textId="5C54D729">
      <w:pPr>
        <w:spacing w:line="360" w:lineRule="auto"/>
        <w:jc w:val="center"/>
        <w:rPr>
          <w:rFonts w:ascii="Arial" w:hAnsi="Arial" w:eastAsia="Arial" w:cs="Arial"/>
          <w:b w:val="1"/>
          <w:bCs w:val="1"/>
          <w:sz w:val="32"/>
          <w:szCs w:val="32"/>
        </w:rPr>
      </w:pPr>
    </w:p>
    <w:p w:rsidR="20A9D5E7" w:rsidP="20A9D5E7" w:rsidRDefault="20A9D5E7" w14:paraId="538240A4" w14:textId="05FFDF5A">
      <w:pPr>
        <w:spacing w:line="360" w:lineRule="auto"/>
        <w:jc w:val="center"/>
        <w:rPr>
          <w:rFonts w:ascii="Arial" w:hAnsi="Arial" w:eastAsia="Arial" w:cs="Arial"/>
          <w:b w:val="1"/>
          <w:bCs w:val="1"/>
          <w:sz w:val="32"/>
          <w:szCs w:val="32"/>
        </w:rPr>
      </w:pPr>
    </w:p>
    <w:p w:rsidR="20A9D5E7" w:rsidP="20A9D5E7" w:rsidRDefault="20A9D5E7" w14:paraId="65232586" w14:textId="25C13EAC">
      <w:pPr>
        <w:spacing w:line="360" w:lineRule="auto"/>
        <w:jc w:val="center"/>
        <w:rPr>
          <w:rFonts w:ascii="Arial" w:hAnsi="Arial" w:eastAsia="Arial" w:cs="Arial"/>
          <w:b w:val="1"/>
          <w:bCs w:val="1"/>
          <w:sz w:val="32"/>
          <w:szCs w:val="32"/>
        </w:rPr>
      </w:pPr>
    </w:p>
    <w:p w:rsidR="20A9D5E7" w:rsidP="20A9D5E7" w:rsidRDefault="20A9D5E7" w14:paraId="68EA1E65" w14:textId="3CAB6E58">
      <w:pPr>
        <w:spacing w:line="360" w:lineRule="auto"/>
        <w:jc w:val="center"/>
        <w:rPr>
          <w:rFonts w:ascii="Arial" w:hAnsi="Arial" w:eastAsia="Arial" w:cs="Arial"/>
          <w:b w:val="1"/>
          <w:bCs w:val="1"/>
          <w:sz w:val="32"/>
          <w:szCs w:val="32"/>
        </w:rPr>
      </w:pPr>
    </w:p>
    <w:p w:rsidR="20A9D5E7" w:rsidP="20A9D5E7" w:rsidRDefault="20A9D5E7" w14:paraId="4667DE2B" w14:textId="483D00D7">
      <w:pPr>
        <w:spacing w:line="360" w:lineRule="auto"/>
        <w:jc w:val="center"/>
        <w:rPr>
          <w:rFonts w:ascii="Arial" w:hAnsi="Arial" w:eastAsia="Arial" w:cs="Arial"/>
          <w:b w:val="1"/>
          <w:bCs w:val="1"/>
          <w:sz w:val="32"/>
          <w:szCs w:val="32"/>
        </w:rPr>
      </w:pPr>
    </w:p>
    <w:p w:rsidR="20A9D5E7" w:rsidP="20A9D5E7" w:rsidRDefault="20A9D5E7" w14:paraId="3E242F14" w14:textId="39621086">
      <w:pPr>
        <w:spacing w:line="360" w:lineRule="auto"/>
        <w:jc w:val="center"/>
        <w:rPr>
          <w:rFonts w:ascii="Arial" w:hAnsi="Arial" w:eastAsia="Arial" w:cs="Arial"/>
          <w:b w:val="1"/>
          <w:bCs w:val="1"/>
          <w:sz w:val="32"/>
          <w:szCs w:val="32"/>
        </w:rPr>
      </w:pPr>
    </w:p>
    <w:p w:rsidR="20A9D5E7" w:rsidP="20A9D5E7" w:rsidRDefault="20A9D5E7" w14:paraId="760982B0" w14:textId="3E423B85">
      <w:pPr>
        <w:spacing w:line="360" w:lineRule="auto"/>
        <w:jc w:val="center"/>
        <w:rPr>
          <w:rFonts w:ascii="Arial" w:hAnsi="Arial" w:eastAsia="Arial" w:cs="Arial"/>
          <w:b w:val="1"/>
          <w:bCs w:val="1"/>
          <w:sz w:val="32"/>
          <w:szCs w:val="32"/>
        </w:rPr>
      </w:pPr>
    </w:p>
    <w:p w:rsidR="20A9D5E7" w:rsidP="20A9D5E7" w:rsidRDefault="20A9D5E7" w14:paraId="237F60E9" w14:textId="2CAA6C17">
      <w:pPr>
        <w:spacing w:line="360" w:lineRule="auto"/>
        <w:jc w:val="center"/>
        <w:rPr>
          <w:rFonts w:ascii="Arial" w:hAnsi="Arial" w:eastAsia="Arial" w:cs="Arial"/>
          <w:b w:val="1"/>
          <w:bCs w:val="1"/>
          <w:sz w:val="32"/>
          <w:szCs w:val="32"/>
        </w:rPr>
      </w:pPr>
    </w:p>
    <w:p w:rsidR="20A9D5E7" w:rsidP="20A9D5E7" w:rsidRDefault="20A9D5E7" w14:paraId="21CE84A1" w14:textId="75834630">
      <w:pPr>
        <w:spacing w:line="360" w:lineRule="auto"/>
        <w:jc w:val="center"/>
        <w:rPr>
          <w:rFonts w:ascii="Arial" w:hAnsi="Arial" w:eastAsia="Arial" w:cs="Arial"/>
          <w:b w:val="1"/>
          <w:bCs w:val="1"/>
          <w:sz w:val="32"/>
          <w:szCs w:val="32"/>
        </w:rPr>
      </w:pPr>
    </w:p>
    <w:p w:rsidR="20A9D5E7" w:rsidP="20A9D5E7" w:rsidRDefault="20A9D5E7" w14:paraId="0F88A83E" w14:textId="02F580DB">
      <w:pPr>
        <w:spacing w:line="360" w:lineRule="auto"/>
        <w:jc w:val="center"/>
        <w:rPr>
          <w:rFonts w:ascii="Arial" w:hAnsi="Arial" w:eastAsia="Arial" w:cs="Arial"/>
          <w:b w:val="1"/>
          <w:bCs w:val="1"/>
          <w:sz w:val="32"/>
          <w:szCs w:val="32"/>
        </w:rPr>
      </w:pPr>
    </w:p>
    <w:p w:rsidR="20A9D5E7" w:rsidP="20A9D5E7" w:rsidRDefault="20A9D5E7" w14:paraId="5B16EC19" w14:textId="2DB38464">
      <w:pPr>
        <w:spacing w:line="360" w:lineRule="auto"/>
        <w:jc w:val="center"/>
        <w:rPr>
          <w:rFonts w:ascii="Arial" w:hAnsi="Arial" w:eastAsia="Arial" w:cs="Arial"/>
          <w:b w:val="1"/>
          <w:bCs w:val="1"/>
          <w:sz w:val="32"/>
          <w:szCs w:val="32"/>
        </w:rPr>
      </w:pPr>
    </w:p>
    <w:p w:rsidR="008A05CD" w:rsidP="2CBA6A66" w:rsidRDefault="008A05CD" w14:paraId="45BE1B6D" w14:textId="77777777">
      <w:pPr>
        <w:spacing w:line="360" w:lineRule="auto"/>
        <w:jc w:val="center"/>
        <w:rPr>
          <w:rFonts w:ascii="Arial" w:hAnsi="Arial" w:eastAsia="Arial" w:cs="Arial"/>
          <w:b/>
          <w:bCs/>
          <w:sz w:val="28"/>
          <w:szCs w:val="28"/>
        </w:rPr>
      </w:pPr>
      <w:r w:rsidRPr="7C665470">
        <w:rPr>
          <w:rFonts w:ascii="Arial" w:hAnsi="Arial" w:eastAsia="Arial" w:cs="Arial"/>
          <w:b/>
          <w:bCs/>
          <w:sz w:val="28"/>
          <w:szCs w:val="28"/>
        </w:rPr>
        <w:t>Diabetes Management and Lifestyle Instruction</w:t>
      </w:r>
    </w:p>
    <w:p w:rsidR="008A05CD" w:rsidP="6478A8E7" w:rsidRDefault="008A05CD" w14:paraId="292F0329" w14:textId="5D43F7FF">
      <w:pPr>
        <w:spacing w:line="360" w:lineRule="auto"/>
        <w:jc w:val="both"/>
        <w:rPr>
          <w:rFonts w:ascii="Arial" w:hAnsi="Arial" w:eastAsia="Arial" w:cs="Arial"/>
          <w:sz w:val="22"/>
          <w:szCs w:val="22"/>
        </w:rPr>
      </w:pPr>
    </w:p>
    <w:p w:rsidR="008A05CD" w:rsidP="6478A8E7" w:rsidRDefault="5CDCE311" w14:paraId="0B98F837" w14:textId="387BA273">
      <w:pPr>
        <w:spacing w:line="360" w:lineRule="auto"/>
        <w:jc w:val="both"/>
        <w:rPr>
          <w:rFonts w:ascii="Arial" w:hAnsi="Arial" w:eastAsia="Arial" w:cs="Arial"/>
          <w:sz w:val="22"/>
          <w:szCs w:val="22"/>
        </w:rPr>
      </w:pPr>
      <w:r w:rsidRPr="20A9D5E7" w:rsidR="1AB1DDBC">
        <w:rPr>
          <w:rFonts w:ascii="Arial" w:hAnsi="Arial" w:eastAsia="Arial" w:cs="Arial"/>
          <w:sz w:val="22"/>
          <w:szCs w:val="22"/>
        </w:rPr>
        <w:t>Diabetes is a condition that causes your blood glucose (sugar) level to become too high</w:t>
      </w:r>
      <w:r w:rsidRPr="20A9D5E7" w:rsidR="3B298470">
        <w:rPr>
          <w:rFonts w:ascii="Arial" w:hAnsi="Arial" w:eastAsia="Arial" w:cs="Arial"/>
          <w:sz w:val="22"/>
          <w:szCs w:val="22"/>
        </w:rPr>
        <w:t xml:space="preserve"> </w:t>
      </w:r>
      <w:r w:rsidRPr="20A9D5E7" w:rsidR="3B298470">
        <w:rPr>
          <w:rFonts w:ascii="Arial" w:hAnsi="Arial" w:eastAsia="Arial" w:cs="Arial"/>
          <w:color w:val="2C3E50"/>
          <w:sz w:val="22"/>
          <w:szCs w:val="22"/>
        </w:rPr>
        <w:t>(N</w:t>
      </w:r>
      <w:r w:rsidRPr="20A9D5E7" w:rsidR="3FB118F5">
        <w:rPr>
          <w:rFonts w:ascii="Arial" w:hAnsi="Arial" w:eastAsia="Arial" w:cs="Arial"/>
          <w:color w:val="2C3E50"/>
          <w:sz w:val="22"/>
          <w:szCs w:val="22"/>
        </w:rPr>
        <w:t xml:space="preserve">ational </w:t>
      </w:r>
      <w:r w:rsidRPr="20A9D5E7" w:rsidR="3B298470">
        <w:rPr>
          <w:rFonts w:ascii="Arial" w:hAnsi="Arial" w:eastAsia="Arial" w:cs="Arial"/>
          <w:color w:val="2C3E50"/>
          <w:sz w:val="22"/>
          <w:szCs w:val="22"/>
        </w:rPr>
        <w:t>H</w:t>
      </w:r>
      <w:r w:rsidRPr="20A9D5E7" w:rsidR="6D68DA40">
        <w:rPr>
          <w:rFonts w:ascii="Arial" w:hAnsi="Arial" w:eastAsia="Arial" w:cs="Arial"/>
          <w:color w:val="2C3E50"/>
          <w:sz w:val="22"/>
          <w:szCs w:val="22"/>
        </w:rPr>
        <w:t xml:space="preserve">ealth </w:t>
      </w:r>
      <w:r w:rsidRPr="20A9D5E7" w:rsidR="3B298470">
        <w:rPr>
          <w:rFonts w:ascii="Arial" w:hAnsi="Arial" w:eastAsia="Arial" w:cs="Arial"/>
          <w:color w:val="2C3E50"/>
          <w:sz w:val="22"/>
          <w:szCs w:val="22"/>
        </w:rPr>
        <w:t>S</w:t>
      </w:r>
      <w:r w:rsidRPr="20A9D5E7" w:rsidR="1EF5F75C">
        <w:rPr>
          <w:rFonts w:ascii="Arial" w:hAnsi="Arial" w:eastAsia="Arial" w:cs="Arial"/>
          <w:color w:val="2C3E50"/>
          <w:sz w:val="22"/>
          <w:szCs w:val="22"/>
        </w:rPr>
        <w:t>ervice</w:t>
      </w:r>
      <w:r w:rsidRPr="20A9D5E7" w:rsidR="3B298470">
        <w:rPr>
          <w:rFonts w:ascii="Arial" w:hAnsi="Arial" w:eastAsia="Arial" w:cs="Arial"/>
          <w:color w:val="2C3E50"/>
          <w:sz w:val="22"/>
          <w:szCs w:val="22"/>
        </w:rPr>
        <w:t>, 2023)</w:t>
      </w:r>
      <w:r w:rsidRPr="20A9D5E7" w:rsidR="3B298470">
        <w:rPr>
          <w:rFonts w:ascii="Arial" w:hAnsi="Arial" w:eastAsia="Arial" w:cs="Arial"/>
          <w:color w:val="2C3E50"/>
          <w:sz w:val="22"/>
          <w:szCs w:val="22"/>
        </w:rPr>
        <w:t xml:space="preserve">. </w:t>
      </w:r>
      <w:r w:rsidRPr="20A9D5E7" w:rsidR="62F04199">
        <w:rPr>
          <w:rFonts w:ascii="Arial" w:hAnsi="Arial" w:eastAsia="Arial" w:cs="Arial"/>
          <w:color w:val="2C3E50"/>
          <w:sz w:val="22"/>
          <w:szCs w:val="22"/>
        </w:rPr>
        <w:t xml:space="preserve">According to Diabetes Uk (2024), they </w:t>
      </w:r>
      <w:r w:rsidRPr="20A9D5E7" w:rsidR="2CA6D415">
        <w:rPr>
          <w:rFonts w:ascii="Arial" w:hAnsi="Arial" w:eastAsia="Arial" w:cs="Arial"/>
          <w:color w:val="2C3E50"/>
          <w:sz w:val="22"/>
          <w:szCs w:val="22"/>
        </w:rPr>
        <w:t xml:space="preserve">are </w:t>
      </w:r>
      <w:r w:rsidRPr="20A9D5E7" w:rsidR="768AC1FF">
        <w:rPr>
          <w:rFonts w:ascii="Arial" w:hAnsi="Arial" w:eastAsia="Arial" w:cs="Arial"/>
          <w:color w:val="2C3E50"/>
          <w:sz w:val="22"/>
          <w:szCs w:val="22"/>
        </w:rPr>
        <w:t xml:space="preserve">three </w:t>
      </w:r>
      <w:r w:rsidRPr="20A9D5E7" w:rsidR="2CA6D415">
        <w:rPr>
          <w:rFonts w:ascii="Arial" w:hAnsi="Arial" w:eastAsia="Arial" w:cs="Arial"/>
          <w:color w:val="2C3E50"/>
          <w:sz w:val="22"/>
          <w:szCs w:val="22"/>
        </w:rPr>
        <w:t>common</w:t>
      </w:r>
      <w:r w:rsidRPr="20A9D5E7" w:rsidR="2CA6D415">
        <w:rPr>
          <w:rFonts w:ascii="Arial" w:hAnsi="Arial" w:eastAsia="Arial" w:cs="Arial"/>
          <w:color w:val="2C3E50"/>
          <w:sz w:val="22"/>
          <w:szCs w:val="22"/>
        </w:rPr>
        <w:t xml:space="preserve"> </w:t>
      </w:r>
      <w:r w:rsidRPr="20A9D5E7" w:rsidR="1BA62CAE">
        <w:rPr>
          <w:rFonts w:ascii="Arial" w:hAnsi="Arial" w:eastAsia="Arial" w:cs="Arial"/>
          <w:color w:val="2C3E50"/>
          <w:sz w:val="22"/>
          <w:szCs w:val="22"/>
        </w:rPr>
        <w:t>types</w:t>
      </w:r>
      <w:r w:rsidRPr="20A9D5E7" w:rsidR="250A3EFA">
        <w:rPr>
          <w:rFonts w:ascii="Arial" w:hAnsi="Arial" w:eastAsia="Arial" w:cs="Arial"/>
          <w:color w:val="2C3E50"/>
          <w:sz w:val="22"/>
          <w:szCs w:val="22"/>
        </w:rPr>
        <w:t xml:space="preserve"> </w:t>
      </w:r>
      <w:r w:rsidRPr="20A9D5E7" w:rsidR="250A3EFA">
        <w:rPr>
          <w:rFonts w:ascii="Arial" w:hAnsi="Arial" w:eastAsia="Arial" w:cs="Arial"/>
          <w:color w:val="2C3E50"/>
          <w:sz w:val="22"/>
          <w:szCs w:val="22"/>
        </w:rPr>
        <w:t>of diabetes</w:t>
      </w:r>
      <w:r w:rsidRPr="20A9D5E7" w:rsidR="59BC692A">
        <w:rPr>
          <w:rFonts w:ascii="Arial" w:hAnsi="Arial" w:eastAsia="Arial" w:cs="Arial"/>
          <w:color w:val="2C3E50"/>
          <w:sz w:val="22"/>
          <w:szCs w:val="22"/>
        </w:rPr>
        <w:t xml:space="preserve"> (</w:t>
      </w:r>
      <w:r w:rsidRPr="20A9D5E7" w:rsidR="59BC692A">
        <w:rPr>
          <w:rFonts w:ascii="Arial" w:hAnsi="Arial" w:eastAsia="Arial" w:cs="Arial"/>
          <w:color w:val="2C3E50"/>
          <w:sz w:val="22"/>
          <w:szCs w:val="22"/>
        </w:rPr>
        <w:t>Type1</w:t>
      </w:r>
      <w:r w:rsidRPr="20A9D5E7" w:rsidR="59BC692A">
        <w:rPr>
          <w:rFonts w:ascii="Arial" w:hAnsi="Arial" w:eastAsia="Arial" w:cs="Arial"/>
          <w:color w:val="2C3E50"/>
          <w:sz w:val="22"/>
          <w:szCs w:val="22"/>
        </w:rPr>
        <w:t xml:space="preserve">, </w:t>
      </w:r>
      <w:r w:rsidRPr="20A9D5E7" w:rsidR="6D63D57C">
        <w:rPr>
          <w:rFonts w:ascii="Arial" w:hAnsi="Arial" w:eastAsia="Arial" w:cs="Arial"/>
          <w:color w:val="2C3E50"/>
          <w:sz w:val="22"/>
          <w:szCs w:val="22"/>
        </w:rPr>
        <w:t>Ty</w:t>
      </w:r>
      <w:r w:rsidRPr="20A9D5E7" w:rsidR="59BC692A">
        <w:rPr>
          <w:rFonts w:ascii="Arial" w:hAnsi="Arial" w:eastAsia="Arial" w:cs="Arial"/>
          <w:color w:val="2C3E50"/>
          <w:sz w:val="22"/>
          <w:szCs w:val="22"/>
        </w:rPr>
        <w:t>pe2</w:t>
      </w:r>
      <w:r w:rsidRPr="20A9D5E7" w:rsidR="1BA62CAE">
        <w:rPr>
          <w:rFonts w:ascii="Arial" w:hAnsi="Arial" w:eastAsia="Arial" w:cs="Arial"/>
          <w:color w:val="2C3E50"/>
          <w:sz w:val="22"/>
          <w:szCs w:val="22"/>
        </w:rPr>
        <w:t xml:space="preserve"> </w:t>
      </w:r>
      <w:r w:rsidRPr="20A9D5E7" w:rsidR="59BC692A">
        <w:rPr>
          <w:rFonts w:ascii="Arial" w:hAnsi="Arial" w:eastAsia="Arial" w:cs="Arial"/>
          <w:color w:val="2C3E50"/>
          <w:sz w:val="22"/>
          <w:szCs w:val="22"/>
        </w:rPr>
        <w:t xml:space="preserve">and </w:t>
      </w:r>
      <w:r w:rsidRPr="20A9D5E7" w:rsidR="08A637DC">
        <w:rPr>
          <w:rFonts w:ascii="Arial" w:hAnsi="Arial" w:eastAsia="Arial" w:cs="Arial"/>
          <w:color w:val="2C3E50"/>
          <w:sz w:val="22"/>
          <w:szCs w:val="22"/>
        </w:rPr>
        <w:t>G</w:t>
      </w:r>
      <w:r w:rsidRPr="20A9D5E7" w:rsidR="59BC692A">
        <w:rPr>
          <w:rFonts w:ascii="Arial" w:hAnsi="Arial" w:eastAsia="Arial" w:cs="Arial"/>
          <w:color w:val="2C3E50"/>
          <w:sz w:val="22"/>
          <w:szCs w:val="22"/>
        </w:rPr>
        <w:t>estation</w:t>
      </w:r>
      <w:r w:rsidRPr="20A9D5E7" w:rsidR="63B8D8BE">
        <w:rPr>
          <w:rFonts w:ascii="Arial" w:hAnsi="Arial" w:eastAsia="Arial" w:cs="Arial"/>
          <w:color w:val="2C3E50"/>
          <w:sz w:val="22"/>
          <w:szCs w:val="22"/>
        </w:rPr>
        <w:t>al</w:t>
      </w:r>
      <w:r w:rsidRPr="20A9D5E7" w:rsidR="59BC692A">
        <w:rPr>
          <w:rFonts w:ascii="Arial" w:hAnsi="Arial" w:eastAsia="Arial" w:cs="Arial"/>
          <w:color w:val="2C3E50"/>
          <w:sz w:val="22"/>
          <w:szCs w:val="22"/>
        </w:rPr>
        <w:t xml:space="preserve"> </w:t>
      </w:r>
      <w:r w:rsidRPr="20A9D5E7" w:rsidR="1F7B3138">
        <w:rPr>
          <w:rFonts w:ascii="Arial" w:hAnsi="Arial" w:eastAsia="Arial" w:cs="Arial"/>
          <w:color w:val="2C3E50"/>
          <w:sz w:val="22"/>
          <w:szCs w:val="22"/>
        </w:rPr>
        <w:t>diabetes</w:t>
      </w:r>
      <w:r w:rsidRPr="20A9D5E7" w:rsidR="59BC692A">
        <w:rPr>
          <w:rFonts w:ascii="Arial" w:hAnsi="Arial" w:eastAsia="Arial" w:cs="Arial"/>
          <w:color w:val="2C3E50"/>
          <w:sz w:val="22"/>
          <w:szCs w:val="22"/>
        </w:rPr>
        <w:t>)</w:t>
      </w:r>
      <w:r w:rsidRPr="20A9D5E7" w:rsidR="1BA62CAE">
        <w:rPr>
          <w:rFonts w:ascii="Arial" w:hAnsi="Arial" w:eastAsia="Arial" w:cs="Arial"/>
          <w:color w:val="2C3E50"/>
          <w:sz w:val="22"/>
          <w:szCs w:val="22"/>
        </w:rPr>
        <w:t xml:space="preserve"> </w:t>
      </w:r>
      <w:r w:rsidRPr="20A9D5E7" w:rsidR="1BA62CAE">
        <w:rPr>
          <w:rFonts w:ascii="Arial" w:hAnsi="Arial" w:eastAsia="Arial" w:cs="Arial"/>
          <w:color w:val="2C3E50"/>
          <w:sz w:val="22"/>
          <w:szCs w:val="22"/>
        </w:rPr>
        <w:t>who has similar</w:t>
      </w:r>
      <w:r w:rsidRPr="20A9D5E7" w:rsidR="2CA6D415">
        <w:rPr>
          <w:rFonts w:ascii="Arial" w:hAnsi="Arial" w:eastAsia="Arial" w:cs="Arial"/>
          <w:color w:val="2C3E50"/>
          <w:sz w:val="22"/>
          <w:szCs w:val="22"/>
        </w:rPr>
        <w:t xml:space="preserve"> </w:t>
      </w:r>
      <w:r w:rsidRPr="20A9D5E7" w:rsidR="2CA6D415">
        <w:rPr>
          <w:rFonts w:ascii="Arial" w:hAnsi="Arial" w:eastAsia="Arial" w:cs="Arial"/>
          <w:color w:val="2C3E50"/>
          <w:sz w:val="22"/>
          <w:szCs w:val="22"/>
        </w:rPr>
        <w:t xml:space="preserve">symptoms </w:t>
      </w:r>
      <w:r w:rsidRPr="20A9D5E7" w:rsidR="595138A1">
        <w:rPr>
          <w:rFonts w:ascii="Arial" w:hAnsi="Arial" w:eastAsia="Arial" w:cs="Arial"/>
          <w:color w:val="2C3E50"/>
          <w:sz w:val="22"/>
          <w:szCs w:val="22"/>
        </w:rPr>
        <w:t xml:space="preserve">such </w:t>
      </w:r>
      <w:r w:rsidRPr="20A9D5E7" w:rsidR="2CA6D415">
        <w:rPr>
          <w:rFonts w:ascii="Arial" w:hAnsi="Arial" w:eastAsia="Arial" w:cs="Arial"/>
          <w:color w:val="2C3E50"/>
          <w:sz w:val="22"/>
          <w:szCs w:val="22"/>
        </w:rPr>
        <w:t>are:</w:t>
      </w:r>
      <w:r w:rsidRPr="20A9D5E7" w:rsidR="6780DF01">
        <w:rPr>
          <w:rFonts w:ascii="Arial" w:hAnsi="Arial" w:eastAsia="Arial" w:cs="Arial"/>
          <w:color w:val="2C3E50"/>
          <w:sz w:val="22"/>
          <w:szCs w:val="22"/>
        </w:rPr>
        <w:t xml:space="preserve"> </w:t>
      </w:r>
      <w:r w:rsidRPr="20A9D5E7" w:rsidR="2CA6D415">
        <w:rPr>
          <w:rFonts w:ascii="Arial" w:hAnsi="Arial" w:eastAsia="Arial" w:cs="Arial"/>
          <w:color w:val="2C3E50"/>
          <w:sz w:val="22"/>
          <w:szCs w:val="22"/>
        </w:rPr>
        <w:t>feeling thirsty all the time</w:t>
      </w:r>
      <w:r w:rsidRPr="20A9D5E7" w:rsidR="216B36FC">
        <w:rPr>
          <w:rFonts w:ascii="Arial" w:hAnsi="Arial" w:eastAsia="Arial" w:cs="Arial"/>
          <w:color w:val="2C3E50"/>
          <w:sz w:val="22"/>
          <w:szCs w:val="22"/>
        </w:rPr>
        <w:t xml:space="preserve">; </w:t>
      </w:r>
      <w:r w:rsidRPr="20A9D5E7" w:rsidR="2CA6D415">
        <w:rPr>
          <w:rFonts w:ascii="Arial" w:hAnsi="Arial" w:eastAsia="Arial" w:cs="Arial"/>
          <w:color w:val="2C3E50"/>
          <w:sz w:val="22"/>
          <w:szCs w:val="22"/>
        </w:rPr>
        <w:t>peeing more than usual</w:t>
      </w:r>
      <w:r w:rsidRPr="20A9D5E7" w:rsidR="20976B24">
        <w:rPr>
          <w:rFonts w:ascii="Arial" w:hAnsi="Arial" w:eastAsia="Arial" w:cs="Arial"/>
          <w:color w:val="2C3E50"/>
          <w:sz w:val="22"/>
          <w:szCs w:val="22"/>
        </w:rPr>
        <w:t xml:space="preserve">; </w:t>
      </w:r>
      <w:r w:rsidRPr="20A9D5E7" w:rsidR="2CA6D415">
        <w:rPr>
          <w:rFonts w:ascii="Arial" w:hAnsi="Arial" w:eastAsia="Arial" w:cs="Arial"/>
          <w:color w:val="2C3E50"/>
          <w:sz w:val="22"/>
          <w:szCs w:val="22"/>
        </w:rPr>
        <w:t>feeling very tired</w:t>
      </w:r>
      <w:r w:rsidRPr="20A9D5E7" w:rsidR="1E43C454">
        <w:rPr>
          <w:rFonts w:ascii="Arial" w:hAnsi="Arial" w:eastAsia="Arial" w:cs="Arial"/>
          <w:color w:val="2C3E50"/>
          <w:sz w:val="22"/>
          <w:szCs w:val="22"/>
        </w:rPr>
        <w:t>;</w:t>
      </w:r>
      <w:r w:rsidRPr="20A9D5E7" w:rsidR="1E43C454">
        <w:rPr>
          <w:rFonts w:ascii="Arial" w:hAnsi="Arial" w:eastAsia="Arial" w:cs="Arial"/>
          <w:color w:val="2C3E50"/>
          <w:sz w:val="22"/>
          <w:szCs w:val="22"/>
        </w:rPr>
        <w:t xml:space="preserve"> l</w:t>
      </w:r>
      <w:r w:rsidRPr="20A9D5E7" w:rsidR="2CA6D415">
        <w:rPr>
          <w:rFonts w:ascii="Arial" w:hAnsi="Arial" w:eastAsia="Arial" w:cs="Arial"/>
          <w:color w:val="2C3E50"/>
          <w:sz w:val="22"/>
          <w:szCs w:val="22"/>
        </w:rPr>
        <w:t>osing weight without trying</w:t>
      </w:r>
      <w:r w:rsidRPr="20A9D5E7" w:rsidR="417F817B">
        <w:rPr>
          <w:rFonts w:ascii="Arial" w:hAnsi="Arial" w:eastAsia="Arial" w:cs="Arial"/>
          <w:color w:val="2C3E50"/>
          <w:sz w:val="22"/>
          <w:szCs w:val="22"/>
        </w:rPr>
        <w:t xml:space="preserve"> and blurred vision. </w:t>
      </w:r>
      <w:r w:rsidRPr="20A9D5E7" w:rsidR="5CDCE311">
        <w:rPr>
          <w:rFonts w:ascii="Arial" w:hAnsi="Arial" w:eastAsia="Arial" w:cs="Arial"/>
          <w:sz w:val="22"/>
          <w:szCs w:val="22"/>
        </w:rPr>
        <w:t xml:space="preserve">Diabetes </w:t>
      </w:r>
      <w:r w:rsidRPr="20A9D5E7" w:rsidR="008A05CD">
        <w:rPr>
          <w:rFonts w:ascii="Arial" w:hAnsi="Arial" w:eastAsia="Arial" w:cs="Arial"/>
          <w:sz w:val="22"/>
          <w:szCs w:val="22"/>
        </w:rPr>
        <w:t>mellitus</w:t>
      </w:r>
      <w:r w:rsidRPr="20A9D5E7" w:rsidR="008A05CD">
        <w:rPr>
          <w:rFonts w:ascii="Arial" w:hAnsi="Arial" w:eastAsia="Arial" w:cs="Arial"/>
          <w:sz w:val="22"/>
          <w:szCs w:val="22"/>
        </w:rPr>
        <w:t xml:space="preserve"> is a persistent metabolic condition marked by increased blood glucose levels due to impairme</w:t>
      </w:r>
      <w:r w:rsidRPr="20A9D5E7" w:rsidR="008A05CD">
        <w:rPr>
          <w:rFonts w:ascii="Arial" w:hAnsi="Arial" w:eastAsia="Arial" w:cs="Arial"/>
          <w:sz w:val="22"/>
          <w:szCs w:val="22"/>
        </w:rPr>
        <w:t xml:space="preserve">nts in insulin synthesis, insulin action, or both. Glucose serves as the body's principal energy source, primarily derived from dietary carbs. Under typical physiological conditions, glucose levels are </w:t>
      </w:r>
      <w:r w:rsidRPr="20A9D5E7" w:rsidR="38FF50C9">
        <w:rPr>
          <w:rFonts w:ascii="Arial" w:hAnsi="Arial" w:eastAsia="Arial" w:cs="Arial"/>
          <w:sz w:val="22"/>
          <w:szCs w:val="22"/>
        </w:rPr>
        <w:t>well</w:t>
      </w:r>
      <w:r w:rsidRPr="20A9D5E7" w:rsidR="008A05CD">
        <w:rPr>
          <w:rFonts w:ascii="Arial" w:hAnsi="Arial" w:eastAsia="Arial" w:cs="Arial"/>
          <w:sz w:val="22"/>
          <w:szCs w:val="22"/>
        </w:rPr>
        <w:t xml:space="preserve"> managed</w:t>
      </w:r>
      <w:r w:rsidRPr="20A9D5E7" w:rsidR="008A05CD">
        <w:rPr>
          <w:rFonts w:ascii="Arial" w:hAnsi="Arial" w:eastAsia="Arial" w:cs="Arial"/>
          <w:sz w:val="22"/>
          <w:szCs w:val="22"/>
        </w:rPr>
        <w:t xml:space="preserve"> to guarantee that body tissues obtain sufficient energy while avoiding harm from elevated glucose concentrations in the bloodstream. In patients with diabetes, this regulating mechanism is compromised, resulting in sustained </w:t>
      </w:r>
      <w:r w:rsidRPr="20A9D5E7" w:rsidR="3FA777B8">
        <w:rPr>
          <w:rFonts w:ascii="Arial" w:hAnsi="Arial" w:eastAsia="Arial" w:cs="Arial"/>
          <w:sz w:val="22"/>
          <w:szCs w:val="22"/>
        </w:rPr>
        <w:t>hyperglycaemia</w:t>
      </w:r>
      <w:r w:rsidRPr="20A9D5E7" w:rsidR="008A05CD">
        <w:rPr>
          <w:rFonts w:ascii="Arial" w:hAnsi="Arial" w:eastAsia="Arial" w:cs="Arial"/>
          <w:sz w:val="22"/>
          <w:szCs w:val="22"/>
        </w:rPr>
        <w:t xml:space="preserve"> and an elevated risk of severe health problems.</w:t>
      </w:r>
    </w:p>
    <w:p w:rsidR="008A05CD" w:rsidP="6478A8E7" w:rsidRDefault="008A05CD" w14:paraId="067711ED" w14:textId="77961EF1">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The global prevalence of diabetes has risen markedly, especially Type 2 diabetes, which </w:t>
      </w:r>
      <w:r w:rsidRPr="20A9D5E7" w:rsidR="008A05CD">
        <w:rPr>
          <w:rFonts w:ascii="Arial" w:hAnsi="Arial" w:eastAsia="Arial" w:cs="Arial"/>
          <w:sz w:val="22"/>
          <w:szCs w:val="22"/>
        </w:rPr>
        <w:t>constitutes almost</w:t>
      </w:r>
      <w:r w:rsidRPr="20A9D5E7" w:rsidR="008A05CD">
        <w:rPr>
          <w:rFonts w:ascii="Arial" w:hAnsi="Arial" w:eastAsia="Arial" w:cs="Arial"/>
          <w:sz w:val="22"/>
          <w:szCs w:val="22"/>
        </w:rPr>
        <w:t xml:space="preserve"> 90% of all cases (World Health Organization, 2023). Diabetes is a significant public health issue in the United Kingdom, linked to cardiovascular disease, renal failure, neuropathy, visual impairment, and lower limb amputations. Consequently, effective patient education is vital for </w:t>
      </w:r>
      <w:r w:rsidRPr="20A9D5E7" w:rsidR="008A05CD">
        <w:rPr>
          <w:rFonts w:ascii="Arial" w:hAnsi="Arial" w:eastAsia="Arial" w:cs="Arial"/>
          <w:sz w:val="22"/>
          <w:szCs w:val="22"/>
        </w:rPr>
        <w:t>facilitating</w:t>
      </w:r>
      <w:r w:rsidRPr="20A9D5E7" w:rsidR="008A05CD">
        <w:rPr>
          <w:rFonts w:ascii="Arial" w:hAnsi="Arial" w:eastAsia="Arial" w:cs="Arial"/>
          <w:sz w:val="22"/>
          <w:szCs w:val="22"/>
        </w:rPr>
        <w:t xml:space="preserve"> self-management and minimising the risk of problems.</w:t>
      </w:r>
      <w:r w:rsidRPr="20A9D5E7" w:rsidR="18C5B76C">
        <w:rPr>
          <w:rFonts w:ascii="Arial" w:hAnsi="Arial" w:eastAsia="Arial" w:cs="Arial"/>
          <w:sz w:val="22"/>
          <w:szCs w:val="22"/>
        </w:rPr>
        <w:t xml:space="preserve"> The aim of this report is an awareness for patients to understand that if diabetes is not managed effectively</w:t>
      </w:r>
      <w:r w:rsidRPr="20A9D5E7" w:rsidR="0876ABEB">
        <w:rPr>
          <w:rFonts w:ascii="Arial" w:hAnsi="Arial" w:eastAsia="Arial" w:cs="Arial"/>
          <w:sz w:val="22"/>
          <w:szCs w:val="22"/>
        </w:rPr>
        <w:t>, it can lead to serious complications</w:t>
      </w:r>
      <w:r w:rsidRPr="20A9D5E7" w:rsidR="0876ABEB">
        <w:rPr>
          <w:rFonts w:ascii="Arial" w:hAnsi="Arial" w:eastAsia="Arial" w:cs="Arial"/>
          <w:sz w:val="22"/>
          <w:szCs w:val="22"/>
        </w:rPr>
        <w:t xml:space="preserve"> such as</w:t>
      </w:r>
      <w:r w:rsidRPr="20A9D5E7" w:rsidR="32BAB159">
        <w:rPr>
          <w:rFonts w:ascii="Arial" w:hAnsi="Arial" w:eastAsia="Arial" w:cs="Arial"/>
          <w:sz w:val="22"/>
          <w:szCs w:val="22"/>
        </w:rPr>
        <w:t xml:space="preserve"> death.</w:t>
      </w:r>
    </w:p>
    <w:p w:rsidR="008A05CD" w:rsidP="6478A8E7" w:rsidRDefault="008A05CD" w14:paraId="20F77090" w14:textId="0D090EE7">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Type 1 diabetes is an autoimmune disorder wherein the immune system assaults insulin-secreting beta cells in the pancreas, leading to little or no insulin production. This condition typically manifests during childhood or adolescence, though it can arise at any age. Type 2 diabetes occurs when body cells </w:t>
      </w:r>
      <w:r w:rsidRPr="20A9D5E7" w:rsidR="008A05CD">
        <w:rPr>
          <w:rFonts w:ascii="Arial" w:hAnsi="Arial" w:eastAsia="Arial" w:cs="Arial"/>
          <w:sz w:val="22"/>
          <w:szCs w:val="22"/>
        </w:rPr>
        <w:t>exhibit</w:t>
      </w:r>
      <w:r w:rsidRPr="20A9D5E7" w:rsidR="008A05CD">
        <w:rPr>
          <w:rFonts w:ascii="Arial" w:hAnsi="Arial" w:eastAsia="Arial" w:cs="Arial"/>
          <w:sz w:val="22"/>
          <w:szCs w:val="22"/>
        </w:rPr>
        <w:t xml:space="preserve"> insulin resistance or when the pancreas </w:t>
      </w:r>
      <w:r w:rsidRPr="20A9D5E7" w:rsidR="008A05CD">
        <w:rPr>
          <w:rFonts w:ascii="Arial" w:hAnsi="Arial" w:eastAsia="Arial" w:cs="Arial"/>
          <w:sz w:val="22"/>
          <w:szCs w:val="22"/>
        </w:rPr>
        <w:t>fails to</w:t>
      </w:r>
      <w:r w:rsidRPr="20A9D5E7" w:rsidR="008A05CD">
        <w:rPr>
          <w:rFonts w:ascii="Arial" w:hAnsi="Arial" w:eastAsia="Arial" w:cs="Arial"/>
          <w:sz w:val="22"/>
          <w:szCs w:val="22"/>
        </w:rPr>
        <w:t xml:space="preserve"> produce adequate insulin to fulfil the body's needs. Type 2 diabetes is </w:t>
      </w:r>
      <w:r w:rsidRPr="20A9D5E7" w:rsidR="008A05CD">
        <w:rPr>
          <w:rFonts w:ascii="Arial" w:hAnsi="Arial" w:eastAsia="Arial" w:cs="Arial"/>
          <w:sz w:val="22"/>
          <w:szCs w:val="22"/>
        </w:rPr>
        <w:t>closely linked</w:t>
      </w:r>
      <w:r w:rsidRPr="20A9D5E7" w:rsidR="008A05CD">
        <w:rPr>
          <w:rFonts w:ascii="Arial" w:hAnsi="Arial" w:eastAsia="Arial" w:cs="Arial"/>
          <w:sz w:val="22"/>
          <w:szCs w:val="22"/>
        </w:rPr>
        <w:t xml:space="preserve"> to lifestyle and environmental influences.</w:t>
      </w:r>
    </w:p>
    <w:p w:rsidR="008A05CD" w:rsidP="6478A8E7" w:rsidRDefault="008A05CD" w14:paraId="4FA61862" w14:textId="77777777">
      <w:pPr>
        <w:spacing w:line="360" w:lineRule="auto"/>
        <w:jc w:val="both"/>
        <w:rPr>
          <w:rFonts w:ascii="Arial" w:hAnsi="Arial" w:eastAsia="Arial" w:cs="Arial"/>
          <w:sz w:val="22"/>
          <w:szCs w:val="22"/>
        </w:rPr>
      </w:pPr>
      <w:r w:rsidRPr="1D1714C2">
        <w:rPr>
          <w:rFonts w:ascii="Arial" w:hAnsi="Arial" w:eastAsia="Arial" w:cs="Arial"/>
          <w:sz w:val="22"/>
          <w:szCs w:val="22"/>
        </w:rPr>
        <w:t>Multiple risk factors facilitate the onset of Type 2 diabetes. Obesity is regarded as a major risk factor, as excess body fat, especially in the abdominal region, elevates insulin resistance. Physical inactivity also leads to diminished glucose utilisation in muscles. Moreover, detrimental dietary habits characterised by the overconsumption of processed foods, saturated fats, and sugary beverages elevate the risk of obesity and compromised glucose tolerance. Smoking constitutes a significant risk factor as nicotine adversely impacts insulin sensitivity and cardiovascular health. Additional contributory factors encompass advanced age, familial history, ethnicity, hypertension, and elevated cholesterol levels.</w:t>
      </w:r>
    </w:p>
    <w:p w:rsidR="008A05CD" w:rsidP="6478A8E7" w:rsidRDefault="008A05CD" w14:paraId="320239CD" w14:textId="77777777">
      <w:pPr>
        <w:spacing w:line="360" w:lineRule="auto"/>
        <w:jc w:val="both"/>
        <w:rPr>
          <w:rFonts w:ascii="Arial" w:hAnsi="Arial" w:eastAsia="Arial" w:cs="Arial"/>
          <w:sz w:val="22"/>
          <w:szCs w:val="22"/>
        </w:rPr>
      </w:pPr>
      <w:r w:rsidRPr="1D1714C2">
        <w:rPr>
          <w:rFonts w:ascii="Arial" w:hAnsi="Arial" w:eastAsia="Arial" w:cs="Arial"/>
          <w:sz w:val="22"/>
          <w:szCs w:val="22"/>
        </w:rPr>
        <w:t>Effective diabetes care necessitates a synthesis of pharmacotherapy, consistent monitoring, and lifestyle alterations. Patients who comprehend the correlation between blood glucose regulation and everyday lifestyle decisions are more inclined to actively participate in their treatment regimens. Thus, healthcare professionals, including practicing nurses, are essential in assisting patients through education and continuous monitoring.</w:t>
      </w:r>
    </w:p>
    <w:p w:rsidR="008A05CD" w:rsidP="6478A8E7" w:rsidRDefault="008A05CD" w14:paraId="1A702AEB" w14:textId="77777777">
      <w:pPr>
        <w:spacing w:line="360" w:lineRule="auto"/>
        <w:jc w:val="both"/>
        <w:rPr>
          <w:rFonts w:ascii="Arial" w:hAnsi="Arial" w:eastAsia="Arial" w:cs="Arial"/>
          <w:sz w:val="22"/>
          <w:szCs w:val="22"/>
        </w:rPr>
      </w:pPr>
    </w:p>
    <w:p w:rsidR="008A05CD" w:rsidP="20A9D5E7" w:rsidRDefault="008A05CD" w14:paraId="5C2B2ABF" w14:textId="77777777">
      <w:pPr>
        <w:spacing w:line="360" w:lineRule="auto"/>
        <w:jc w:val="both"/>
        <w:rPr>
          <w:rFonts w:ascii="Arial" w:hAnsi="Arial" w:eastAsia="Arial" w:cs="Arial"/>
          <w:b w:val="1"/>
          <w:bCs w:val="1"/>
          <w:sz w:val="22"/>
          <w:szCs w:val="22"/>
        </w:rPr>
      </w:pPr>
      <w:r w:rsidRPr="20A9D5E7" w:rsidR="008A05CD">
        <w:rPr>
          <w:rFonts w:ascii="Arial" w:hAnsi="Arial" w:eastAsia="Arial" w:cs="Arial"/>
          <w:b w:val="1"/>
          <w:bCs w:val="1"/>
          <w:sz w:val="22"/>
          <w:szCs w:val="22"/>
        </w:rPr>
        <w:t>Regulation of Glycaemic Levels</w:t>
      </w:r>
    </w:p>
    <w:p w:rsidR="008A05CD" w:rsidP="6478A8E7" w:rsidRDefault="008A05CD" w14:paraId="7F13D61F" w14:textId="77777777">
      <w:pPr>
        <w:spacing w:line="360" w:lineRule="auto"/>
        <w:jc w:val="both"/>
        <w:rPr>
          <w:rFonts w:ascii="Arial" w:hAnsi="Arial" w:eastAsia="Arial" w:cs="Arial"/>
          <w:sz w:val="22"/>
          <w:szCs w:val="22"/>
        </w:rPr>
      </w:pPr>
      <w:r w:rsidRPr="1D1714C2">
        <w:rPr>
          <w:rFonts w:ascii="Arial" w:hAnsi="Arial" w:eastAsia="Arial" w:cs="Arial"/>
          <w:sz w:val="22"/>
          <w:szCs w:val="22"/>
        </w:rPr>
        <w:t>The human body depends on intricate homeostatic processes to regulate blood glucose levels within a healthy physiological range. Blood glucose management is predominantly managed by the endocrine functions of the pancreas via the secretion of the hormones insulin and glucagon.</w:t>
      </w:r>
    </w:p>
    <w:p w:rsidR="008A05CD" w:rsidP="6478A8E7" w:rsidRDefault="008A05CD" w14:paraId="370A6351" w14:textId="77777777">
      <w:pPr>
        <w:spacing w:line="360" w:lineRule="auto"/>
        <w:jc w:val="both"/>
        <w:rPr>
          <w:rFonts w:ascii="Arial" w:hAnsi="Arial" w:eastAsia="Arial" w:cs="Arial"/>
          <w:sz w:val="22"/>
          <w:szCs w:val="22"/>
        </w:rPr>
      </w:pPr>
      <w:r w:rsidRPr="1D1714C2">
        <w:rPr>
          <w:rFonts w:ascii="Arial" w:hAnsi="Arial" w:eastAsia="Arial" w:cs="Arial"/>
          <w:sz w:val="22"/>
          <w:szCs w:val="22"/>
        </w:rPr>
        <w:t>Upon elevation of blood glucose levels after consumption, specialist beta cells in the pancreas secrete insulin into the bloodstream. Insulin facilitates the transport of glucose from the bloodstream into body cells, where it can be utilised for immediate energy production or stored for subsequent use. Excess glucose is transformed into glycogen in the liver and skeletal muscles via glycogenesis.</w:t>
      </w:r>
    </w:p>
    <w:p w:rsidR="008A05CD" w:rsidP="6478A8E7" w:rsidRDefault="008A05CD" w14:paraId="2490DE3D" w14:textId="77777777">
      <w:pPr>
        <w:spacing w:line="360" w:lineRule="auto"/>
        <w:jc w:val="both"/>
        <w:rPr>
          <w:rFonts w:ascii="Arial" w:hAnsi="Arial" w:eastAsia="Arial" w:cs="Arial"/>
          <w:sz w:val="22"/>
          <w:szCs w:val="22"/>
        </w:rPr>
      </w:pPr>
      <w:r w:rsidRPr="1D1714C2">
        <w:rPr>
          <w:rFonts w:ascii="Arial" w:hAnsi="Arial" w:eastAsia="Arial" w:cs="Arial"/>
          <w:sz w:val="22"/>
          <w:szCs w:val="22"/>
        </w:rPr>
        <w:t>Insulin thus reduces blood glucose levels and inhibits hyperglycemia. This mechanism is crucial as sustained elevated glucose levels can harm blood vessels and organs. In healthy individuals, insulin secretion autonomously fluctuates in response to the body's requirements.</w:t>
      </w:r>
    </w:p>
    <w:p w:rsidR="008A05CD" w:rsidP="6478A8E7" w:rsidRDefault="008A05CD" w14:paraId="64AA8C65" w14:textId="77777777">
      <w:pPr>
        <w:spacing w:line="360" w:lineRule="auto"/>
        <w:jc w:val="both"/>
        <w:rPr>
          <w:rFonts w:ascii="Arial" w:hAnsi="Arial" w:eastAsia="Arial" w:cs="Arial"/>
          <w:sz w:val="22"/>
          <w:szCs w:val="22"/>
        </w:rPr>
      </w:pPr>
      <w:r w:rsidRPr="1D1714C2">
        <w:rPr>
          <w:rFonts w:ascii="Arial" w:hAnsi="Arial" w:eastAsia="Arial" w:cs="Arial"/>
          <w:sz w:val="22"/>
          <w:szCs w:val="22"/>
        </w:rPr>
        <w:t>Conversely, when blood glucose levels decline during fasting, exercise, or intermeal periods, alpha cells in the pancreas secrete glucagon. Glucagon prompts the liver to convert glycogen reserves into glucose via glycogenolysis. The liver subsequently secretes glucose into the bloodstream to provide sufficient energy availability.</w:t>
      </w:r>
    </w:p>
    <w:p w:rsidR="008A05CD" w:rsidP="6478A8E7" w:rsidRDefault="008A05CD" w14:paraId="7DD8EE68" w14:textId="77777777">
      <w:pPr>
        <w:spacing w:line="360" w:lineRule="auto"/>
        <w:jc w:val="both"/>
        <w:rPr>
          <w:rFonts w:ascii="Arial" w:hAnsi="Arial" w:eastAsia="Arial" w:cs="Arial"/>
          <w:sz w:val="22"/>
          <w:szCs w:val="22"/>
        </w:rPr>
      </w:pPr>
      <w:r w:rsidRPr="1D1714C2">
        <w:rPr>
          <w:rFonts w:ascii="Arial" w:hAnsi="Arial" w:eastAsia="Arial" w:cs="Arial"/>
          <w:sz w:val="22"/>
          <w:szCs w:val="22"/>
        </w:rPr>
        <w:t>The equilibrium between insulin and glucagon sustains glucose homeostasis. The standard fasting blood glucose range for healthy persons is roughly 4–7 mmol/L. In persons with diabetes, these hormonal processes are compromised. Type 1 diabetes is characterised by inadequate insulin production, while Type 2 diabetes is marked by insulin resistance that hinders effective glucose uptake by cells.</w:t>
      </w:r>
    </w:p>
    <w:p w:rsidR="008A05CD" w:rsidP="6478A8E7" w:rsidRDefault="008A05CD" w14:paraId="063F0552" w14:textId="77777777">
      <w:pPr>
        <w:spacing w:line="360" w:lineRule="auto"/>
        <w:jc w:val="both"/>
        <w:rPr>
          <w:rFonts w:ascii="Arial" w:hAnsi="Arial" w:eastAsia="Arial" w:cs="Arial"/>
          <w:sz w:val="22"/>
          <w:szCs w:val="22"/>
        </w:rPr>
      </w:pPr>
      <w:r w:rsidRPr="1D1714C2">
        <w:rPr>
          <w:rFonts w:ascii="Arial" w:hAnsi="Arial" w:eastAsia="Arial" w:cs="Arial"/>
          <w:sz w:val="22"/>
          <w:szCs w:val="22"/>
        </w:rPr>
        <w:t>Supplementary hormones also play a role in glucose control. Adrenaline, cortisol, and growth hormone can elevate blood glucose levels under stress or illness by promoting glucose synthesis in the liver. This elucidates why stress and infection can exacerbate glycaemic control in patients with diabetes.</w:t>
      </w:r>
    </w:p>
    <w:p w:rsidR="008A05CD" w:rsidP="6478A8E7" w:rsidRDefault="008A05CD" w14:paraId="3ABBBFBB" w14:textId="77777777">
      <w:pPr>
        <w:spacing w:line="360" w:lineRule="auto"/>
        <w:jc w:val="both"/>
        <w:rPr>
          <w:rFonts w:ascii="Arial" w:hAnsi="Arial" w:eastAsia="Arial" w:cs="Arial"/>
          <w:sz w:val="22"/>
          <w:szCs w:val="22"/>
        </w:rPr>
      </w:pPr>
      <w:r w:rsidRPr="1D1714C2">
        <w:rPr>
          <w:rFonts w:ascii="Arial" w:hAnsi="Arial" w:eastAsia="Arial" w:cs="Arial"/>
          <w:sz w:val="22"/>
          <w:szCs w:val="22"/>
        </w:rPr>
        <w:t>Regulating blood glucose levels within a specified range is crucial for sustaining organ function and averting problems. Chronic hyperglycemia can harm blood vessels, neurones, kidneys, and the retinal tissue of the eye. Conversely, too low blood glucose levels might hinder cerebral function and result in confusion, seizures, or loss of consciousness. Consequently, vigilant oversight and administration are essential.</w:t>
      </w:r>
    </w:p>
    <w:p w:rsidR="008A05CD" w:rsidP="20A9D5E7" w:rsidRDefault="008A05CD" w14:paraId="4FB73177" w14:textId="77777777">
      <w:pPr>
        <w:spacing w:line="360" w:lineRule="auto"/>
        <w:jc w:val="both"/>
        <w:rPr>
          <w:rFonts w:ascii="Arial" w:hAnsi="Arial" w:eastAsia="Arial" w:cs="Arial"/>
          <w:b w:val="1"/>
          <w:bCs w:val="1"/>
          <w:sz w:val="22"/>
          <w:szCs w:val="22"/>
        </w:rPr>
      </w:pPr>
      <w:r w:rsidRPr="20A9D5E7" w:rsidR="008A05CD">
        <w:rPr>
          <w:rFonts w:ascii="Arial" w:hAnsi="Arial" w:eastAsia="Arial" w:cs="Arial"/>
          <w:b w:val="1"/>
          <w:bCs w:val="1"/>
          <w:sz w:val="22"/>
          <w:szCs w:val="22"/>
        </w:rPr>
        <w:t>Oxygen and Glucose in Cellular Metabolism</w:t>
      </w:r>
    </w:p>
    <w:p w:rsidR="008A05CD" w:rsidP="6478A8E7" w:rsidRDefault="008A05CD" w14:paraId="41F1757A" w14:textId="77777777">
      <w:pPr>
        <w:spacing w:line="360" w:lineRule="auto"/>
        <w:jc w:val="both"/>
        <w:rPr>
          <w:rFonts w:ascii="Arial" w:hAnsi="Arial" w:eastAsia="Arial" w:cs="Arial"/>
          <w:sz w:val="22"/>
          <w:szCs w:val="22"/>
        </w:rPr>
      </w:pPr>
      <w:r w:rsidRPr="1D1714C2">
        <w:rPr>
          <w:rFonts w:ascii="Arial" w:hAnsi="Arial" w:eastAsia="Arial" w:cs="Arial"/>
          <w:sz w:val="22"/>
          <w:szCs w:val="22"/>
        </w:rPr>
        <w:t>Glucose and oxygen are vital elements of cellular respiration, the mechanism by which cells produce energy. The body need energy for all physiological functions, including muscular contraction, neurone transmission, tissue healing, and thermoregulation. This energy is generated as adenosine triphosphate (ATP).</w:t>
      </w:r>
    </w:p>
    <w:p w:rsidR="008A05CD" w:rsidP="6478A8E7" w:rsidRDefault="008A05CD" w14:paraId="67349B97" w14:textId="77777777">
      <w:pPr>
        <w:spacing w:line="360" w:lineRule="auto"/>
        <w:jc w:val="both"/>
        <w:rPr>
          <w:rFonts w:ascii="Arial" w:hAnsi="Arial" w:eastAsia="Arial" w:cs="Arial"/>
          <w:sz w:val="22"/>
          <w:szCs w:val="22"/>
        </w:rPr>
      </w:pPr>
      <w:r w:rsidRPr="1D1714C2">
        <w:rPr>
          <w:rFonts w:ascii="Arial" w:hAnsi="Arial" w:eastAsia="Arial" w:cs="Arial"/>
          <w:sz w:val="22"/>
          <w:szCs w:val="22"/>
        </w:rPr>
        <w:t>Cellular respiration predominantly transpires within the mitochondria of cells. In this process, glucose from food reacts with oxygen acquired through respiration to generate ATP, carbon dioxide, and water.</w:t>
      </w:r>
    </w:p>
    <w:p w:rsidR="008A05CD" w:rsidP="6478A8E7" w:rsidRDefault="008A05CD" w14:paraId="6841DAA0"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Oxygen (O2) facilitates effective energy release. </w:t>
      </w:r>
    </w:p>
    <w:p w:rsidR="008A05CD" w:rsidP="6478A8E7" w:rsidRDefault="008A05CD" w14:paraId="416D261C"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Carbon dioxide and water are metabolic waste products eliminated by the organism. </w:t>
      </w:r>
    </w:p>
    <w:p w:rsidR="008A05CD" w:rsidP="6478A8E7" w:rsidRDefault="008A05CD" w14:paraId="135BCEED"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ATP supplies useful energy for cellular functions. </w:t>
      </w:r>
    </w:p>
    <w:p w:rsidR="008A05CD" w:rsidP="6478A8E7" w:rsidRDefault="008A05CD" w14:paraId="441E09E7" w14:textId="77777777">
      <w:pPr>
        <w:spacing w:line="360" w:lineRule="auto"/>
        <w:jc w:val="both"/>
        <w:rPr>
          <w:rFonts w:ascii="Arial" w:hAnsi="Arial" w:eastAsia="Arial" w:cs="Arial"/>
          <w:sz w:val="22"/>
          <w:szCs w:val="22"/>
        </w:rPr>
      </w:pPr>
      <w:r w:rsidRPr="1D1714C2">
        <w:rPr>
          <w:rFonts w:ascii="Arial" w:hAnsi="Arial" w:eastAsia="Arial" w:cs="Arial"/>
          <w:sz w:val="22"/>
          <w:szCs w:val="22"/>
        </w:rPr>
        <w:t>Cellular respiration consists of three primary stages: glycolysis, the Krebs cycle, and oxidative phosphorylation. Glycolysis transpires in the cytoplasm and deconstructs glucose into smaller molecules. The Krebs cycle and oxidative phosphorylation transpire in mitochondria, producing substantial quantities of ATP.</w:t>
      </w:r>
    </w:p>
    <w:p w:rsidR="008A05CD" w:rsidP="6478A8E7" w:rsidRDefault="008A05CD" w14:paraId="4F6EB869" w14:textId="77777777">
      <w:pPr>
        <w:spacing w:line="360" w:lineRule="auto"/>
        <w:jc w:val="both"/>
        <w:rPr>
          <w:rFonts w:ascii="Arial" w:hAnsi="Arial" w:eastAsia="Arial" w:cs="Arial"/>
          <w:sz w:val="22"/>
          <w:szCs w:val="22"/>
        </w:rPr>
      </w:pPr>
      <w:r w:rsidRPr="1D1714C2">
        <w:rPr>
          <w:rFonts w:ascii="Arial" w:hAnsi="Arial" w:eastAsia="Arial" w:cs="Arial"/>
          <w:sz w:val="22"/>
          <w:szCs w:val="22"/>
        </w:rPr>
        <w:t>Insulin is crucial in this process as it enables glucose absorption into cells. In the absence of sufficient insulin activity, glucose persists in the bloodstream instead of being absorbed by cells for metabolism. Thus, despite elevated blood glucose levels, bodily tissues may suffer from an energy deficiency. This elucidates why unmanaged diabetes frequently results in weariness, weakness, and weight reduction.</w:t>
      </w:r>
    </w:p>
    <w:p w:rsidR="008A05CD" w:rsidP="6478A8E7" w:rsidRDefault="008A05CD" w14:paraId="65A577A6" w14:textId="77777777">
      <w:pPr>
        <w:spacing w:line="360" w:lineRule="auto"/>
        <w:jc w:val="both"/>
        <w:rPr>
          <w:rFonts w:ascii="Arial" w:hAnsi="Arial" w:eastAsia="Arial" w:cs="Arial"/>
          <w:sz w:val="22"/>
          <w:szCs w:val="22"/>
        </w:rPr>
      </w:pPr>
      <w:r w:rsidRPr="1D1714C2">
        <w:rPr>
          <w:rFonts w:ascii="Arial" w:hAnsi="Arial" w:eastAsia="Arial" w:cs="Arial"/>
          <w:sz w:val="22"/>
          <w:szCs w:val="22"/>
        </w:rPr>
        <w:t>When glucose cannot be efficiently utilised, the body may commence the breakdown of fat reserves to generate alternative energy substrates termed ketones. Excessive ketone generation may result in diabetic ketoacidosis, a potentially fatal condition frequently linked to Type 1 diabetes.</w:t>
      </w:r>
    </w:p>
    <w:p w:rsidR="008A05CD" w:rsidP="6478A8E7" w:rsidRDefault="008A05CD" w14:paraId="17EBFD8A" w14:textId="77777777">
      <w:pPr>
        <w:spacing w:line="360" w:lineRule="auto"/>
        <w:jc w:val="both"/>
        <w:rPr>
          <w:rFonts w:ascii="Arial" w:hAnsi="Arial" w:eastAsia="Arial" w:cs="Arial"/>
          <w:sz w:val="22"/>
          <w:szCs w:val="22"/>
        </w:rPr>
      </w:pPr>
      <w:r w:rsidRPr="1D1714C2">
        <w:rPr>
          <w:rFonts w:ascii="Arial" w:hAnsi="Arial" w:eastAsia="Arial" w:cs="Arial"/>
          <w:sz w:val="22"/>
          <w:szCs w:val="22"/>
        </w:rPr>
        <w:t>Optimal cellular metabolism relies on sufficient oxygen delivery, glucose availability, and effective insulin activity. Interruption of these processes substantially impacts overall health and wellbeing.</w:t>
      </w:r>
    </w:p>
    <w:p w:rsidR="008A05CD" w:rsidP="6478A8E7" w:rsidRDefault="008A05CD" w14:paraId="536A4FA1" w14:textId="77777777">
      <w:pPr>
        <w:spacing w:line="360" w:lineRule="auto"/>
        <w:jc w:val="both"/>
        <w:rPr>
          <w:rFonts w:ascii="Arial" w:hAnsi="Arial" w:eastAsia="Arial" w:cs="Arial"/>
          <w:sz w:val="22"/>
          <w:szCs w:val="22"/>
        </w:rPr>
      </w:pPr>
    </w:p>
    <w:p w:rsidR="008A05CD" w:rsidP="20A9D5E7" w:rsidRDefault="008A05CD" w14:paraId="307DABAE" w14:textId="77777777">
      <w:pPr>
        <w:spacing w:line="360" w:lineRule="auto"/>
        <w:jc w:val="both"/>
        <w:rPr>
          <w:rFonts w:ascii="Arial" w:hAnsi="Arial" w:eastAsia="Arial" w:cs="Arial"/>
          <w:b w:val="1"/>
          <w:bCs w:val="1"/>
          <w:sz w:val="22"/>
          <w:szCs w:val="22"/>
        </w:rPr>
      </w:pPr>
      <w:r w:rsidRPr="20A9D5E7" w:rsidR="008A05CD">
        <w:rPr>
          <w:rFonts w:ascii="Arial" w:hAnsi="Arial" w:eastAsia="Arial" w:cs="Arial"/>
          <w:b w:val="1"/>
          <w:bCs w:val="1"/>
          <w:sz w:val="22"/>
          <w:szCs w:val="22"/>
        </w:rPr>
        <w:t>Monitoring and Documenting Glycaemic Levels in Type 2 Diabetes</w:t>
      </w:r>
    </w:p>
    <w:p w:rsidR="008A05CD" w:rsidP="6478A8E7" w:rsidRDefault="008A05CD" w14:paraId="60300408" w14:textId="77777777">
      <w:pPr>
        <w:spacing w:line="360" w:lineRule="auto"/>
        <w:jc w:val="both"/>
        <w:rPr>
          <w:rFonts w:ascii="Arial" w:hAnsi="Arial" w:eastAsia="Arial" w:cs="Arial"/>
          <w:sz w:val="22"/>
          <w:szCs w:val="22"/>
        </w:rPr>
      </w:pPr>
      <w:r w:rsidRPr="1D1714C2">
        <w:rPr>
          <w:rFonts w:ascii="Arial" w:hAnsi="Arial" w:eastAsia="Arial" w:cs="Arial"/>
          <w:sz w:val="22"/>
          <w:szCs w:val="22"/>
        </w:rPr>
        <w:t>Monitoring blood glucose levels is an essential aspect of diabetes care. Monitoring and documenting blood glucose levels allows patients with Type 2 diabetes better comprehend the impact of lifestyle choices, medication, stress, and sickness on their health. Self-monitoring promotes enhanced patient engagement and facilitates informed decision-making.</w:t>
      </w:r>
    </w:p>
    <w:p w:rsidR="008A05CD" w:rsidP="6478A8E7" w:rsidRDefault="008A05CD" w14:paraId="2D178E3C" w14:textId="2A75BF83">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Blood glucose assessment can be conducted with finger-prick diagnostic instruments or continuous glucose monitoring systems (CGMs). These approaches enable patients to assess glucose levels at different intervals during the day, including </w:t>
      </w:r>
      <w:r w:rsidRPr="20A9D5E7" w:rsidR="697D675A">
        <w:rPr>
          <w:rFonts w:ascii="Arial" w:hAnsi="Arial" w:eastAsia="Arial" w:cs="Arial"/>
          <w:sz w:val="22"/>
          <w:szCs w:val="22"/>
        </w:rPr>
        <w:t>pre-prandial</w:t>
      </w:r>
      <w:r w:rsidRPr="20A9D5E7" w:rsidR="008A05CD">
        <w:rPr>
          <w:rFonts w:ascii="Arial" w:hAnsi="Arial" w:eastAsia="Arial" w:cs="Arial"/>
          <w:sz w:val="22"/>
          <w:szCs w:val="22"/>
        </w:rPr>
        <w:t>, postprandial, and prior to sleep.</w:t>
      </w:r>
    </w:p>
    <w:p w:rsidR="008A05CD" w:rsidP="6478A8E7" w:rsidRDefault="008A05CD" w14:paraId="7BB859C7" w14:textId="77777777">
      <w:pPr>
        <w:spacing w:line="360" w:lineRule="auto"/>
        <w:jc w:val="both"/>
        <w:rPr>
          <w:rFonts w:ascii="Arial" w:hAnsi="Arial" w:eastAsia="Arial" w:cs="Arial"/>
          <w:sz w:val="22"/>
          <w:szCs w:val="22"/>
        </w:rPr>
      </w:pPr>
      <w:r w:rsidRPr="1D1714C2">
        <w:rPr>
          <w:rFonts w:ascii="Arial" w:hAnsi="Arial" w:eastAsia="Arial" w:cs="Arial"/>
          <w:sz w:val="22"/>
          <w:szCs w:val="22"/>
        </w:rPr>
        <w:t>Consistent monitoring yields numerous significant advantages. Firstly, it allows individuals to discern patterns and trends in blood glucose variations. Patients may note that specific foods or lack of physical exercise lead to increased glucose levels. This awareness facilitates behavioural modification and enhances compliance with dietary guidelines.</w:t>
      </w:r>
    </w:p>
    <w:p w:rsidR="008A05CD" w:rsidP="6478A8E7" w:rsidRDefault="008A05CD" w14:paraId="6A591A28" w14:textId="77777777">
      <w:pPr>
        <w:spacing w:line="360" w:lineRule="auto"/>
        <w:jc w:val="both"/>
        <w:rPr>
          <w:rFonts w:ascii="Arial" w:hAnsi="Arial" w:eastAsia="Arial" w:cs="Arial"/>
          <w:sz w:val="22"/>
          <w:szCs w:val="22"/>
        </w:rPr>
      </w:pPr>
      <w:r w:rsidRPr="1D1714C2">
        <w:rPr>
          <w:rFonts w:ascii="Arial" w:hAnsi="Arial" w:eastAsia="Arial" w:cs="Arial"/>
          <w:sz w:val="22"/>
          <w:szCs w:val="22"/>
        </w:rPr>
        <w:t>Secondly, monitoring blood glucose levels aids in the prevention of hyperglycaemic and hypoglycemic crises. Chronic hyperglycemia elevates the likelihood of long-term problems, while hypoglycemia can induce dizziness, confusion, diaphoresis, and loss of consciousness. Monitoring enables patients to react appropriately and obtain medical counsel when required.</w:t>
      </w:r>
    </w:p>
    <w:p w:rsidR="008A05CD" w:rsidP="6478A8E7" w:rsidRDefault="008A05CD" w14:paraId="774D5BE7" w14:textId="77777777">
      <w:pPr>
        <w:spacing w:line="360" w:lineRule="auto"/>
        <w:jc w:val="both"/>
        <w:rPr>
          <w:rFonts w:ascii="Arial" w:hAnsi="Arial" w:eastAsia="Arial" w:cs="Arial"/>
          <w:sz w:val="22"/>
          <w:szCs w:val="22"/>
        </w:rPr>
      </w:pPr>
      <w:r w:rsidRPr="1D1714C2">
        <w:rPr>
          <w:rFonts w:ascii="Arial" w:hAnsi="Arial" w:eastAsia="Arial" w:cs="Arial"/>
          <w:sz w:val="22"/>
          <w:szCs w:val="22"/>
        </w:rPr>
        <w:t>Thirdly, documented blood glucose levels furnish healthcare personnel with essential insights for evaluating treatment strategies. Healthcare professionals can evaluate the efficacy of drugs and ascertain the necessity for dosage modifications. Blood glucose records facilitate individualised treatment planning.</w:t>
      </w:r>
    </w:p>
    <w:p w:rsidR="008A05CD" w:rsidP="6478A8E7" w:rsidRDefault="008A05CD" w14:paraId="6DCB91EB" w14:textId="77777777">
      <w:pPr>
        <w:spacing w:line="360" w:lineRule="auto"/>
        <w:jc w:val="both"/>
        <w:rPr>
          <w:rFonts w:ascii="Arial" w:hAnsi="Arial" w:eastAsia="Arial" w:cs="Arial"/>
          <w:sz w:val="22"/>
          <w:szCs w:val="22"/>
        </w:rPr>
      </w:pPr>
      <w:r w:rsidRPr="1D1714C2">
        <w:rPr>
          <w:rFonts w:ascii="Arial" w:hAnsi="Arial" w:eastAsia="Arial" w:cs="Arial"/>
          <w:sz w:val="22"/>
          <w:szCs w:val="22"/>
        </w:rPr>
        <w:t>The HbA1c blood test evaluates long-term blood glucose control by indicating average glucose levels over a span of two to three months. HbA1c testing is crucial as it offers a comprehensive assessment of diabetes management beyond isolated daily measurements. Decreased HbA1c levels correlate with a diminished risk of complications.</w:t>
      </w:r>
    </w:p>
    <w:p w:rsidR="008A05CD" w:rsidP="6478A8E7" w:rsidRDefault="008A05CD" w14:paraId="35A9DEE1" w14:textId="77777777">
      <w:pPr>
        <w:spacing w:line="360" w:lineRule="auto"/>
        <w:jc w:val="both"/>
        <w:rPr>
          <w:rFonts w:ascii="Arial" w:hAnsi="Arial" w:eastAsia="Arial" w:cs="Arial"/>
          <w:sz w:val="22"/>
          <w:szCs w:val="22"/>
        </w:rPr>
      </w:pPr>
      <w:r w:rsidRPr="1D1714C2">
        <w:rPr>
          <w:rFonts w:ascii="Arial" w:hAnsi="Arial" w:eastAsia="Arial" w:cs="Arial"/>
          <w:sz w:val="22"/>
          <w:szCs w:val="22"/>
        </w:rPr>
        <w:t>Patients are frequently urged to keep written or electronic documentation that includes:</w:t>
      </w:r>
    </w:p>
    <w:p w:rsidR="008A05CD" w:rsidP="6478A8E7" w:rsidRDefault="008A05CD" w14:paraId="50D836FA"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Blood glucose measurements </w:t>
      </w:r>
    </w:p>
    <w:p w:rsidR="008A05CD" w:rsidP="6478A8E7" w:rsidRDefault="008A05CD" w14:paraId="11C1FB7A"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Pharmaceutical utilisation </w:t>
      </w:r>
    </w:p>
    <w:p w:rsidR="008A05CD" w:rsidP="6478A8E7" w:rsidRDefault="008A05CD" w14:paraId="59D924F3"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Nutritional consumption </w:t>
      </w:r>
    </w:p>
    <w:p w:rsidR="008A05CD" w:rsidP="6478A8E7" w:rsidRDefault="008A05CD" w14:paraId="7A6B6FDE"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Exercise </w:t>
      </w:r>
    </w:p>
    <w:p w:rsidR="008A05CD" w:rsidP="6478A8E7" w:rsidRDefault="008A05CD" w14:paraId="06AF7F94" w14:textId="77777777">
      <w:pPr>
        <w:spacing w:line="360" w:lineRule="auto"/>
        <w:jc w:val="both"/>
        <w:rPr>
          <w:rFonts w:ascii="Arial" w:hAnsi="Arial" w:eastAsia="Arial" w:cs="Arial"/>
          <w:sz w:val="22"/>
          <w:szCs w:val="22"/>
        </w:rPr>
      </w:pPr>
      <w:r w:rsidRPr="1D1714C2">
        <w:rPr>
          <w:rFonts w:ascii="Arial" w:hAnsi="Arial" w:eastAsia="Arial" w:cs="Arial"/>
          <w:sz w:val="22"/>
          <w:szCs w:val="22"/>
        </w:rPr>
        <w:t xml:space="preserve">Symptoms or atypical occurrences </w:t>
      </w:r>
    </w:p>
    <w:p w:rsidR="008A05CD" w:rsidP="6478A8E7" w:rsidRDefault="008A05CD" w14:paraId="15BE01D9" w14:textId="77777777">
      <w:pPr>
        <w:spacing w:line="360" w:lineRule="auto"/>
        <w:jc w:val="both"/>
        <w:rPr>
          <w:rFonts w:ascii="Arial" w:hAnsi="Arial" w:eastAsia="Arial" w:cs="Arial"/>
          <w:sz w:val="22"/>
          <w:szCs w:val="22"/>
        </w:rPr>
      </w:pPr>
      <w:r w:rsidRPr="1D1714C2">
        <w:rPr>
          <w:rFonts w:ascii="Arial" w:hAnsi="Arial" w:eastAsia="Arial" w:cs="Arial"/>
          <w:sz w:val="22"/>
          <w:szCs w:val="22"/>
        </w:rPr>
        <w:t>This comprehensive approach aids patients in comprehending the correlation between lifestyle factors and glycaemic regulation. Moreover, self-monitoring fosters patient empowerment and motivates individuals to assume increased responsibility for their health.</w:t>
      </w:r>
    </w:p>
    <w:p w:rsidR="008A05CD" w:rsidP="6478A8E7" w:rsidRDefault="008A05CD" w14:paraId="35599456" w14:textId="77777777">
      <w:pPr>
        <w:spacing w:line="360" w:lineRule="auto"/>
        <w:jc w:val="both"/>
        <w:rPr>
          <w:rFonts w:ascii="Arial" w:hAnsi="Arial" w:eastAsia="Arial" w:cs="Arial"/>
          <w:sz w:val="22"/>
          <w:szCs w:val="22"/>
        </w:rPr>
      </w:pPr>
      <w:r w:rsidRPr="1D1714C2">
        <w:rPr>
          <w:rFonts w:ascii="Arial" w:hAnsi="Arial" w:eastAsia="Arial" w:cs="Arial"/>
          <w:sz w:val="22"/>
          <w:szCs w:val="22"/>
        </w:rPr>
        <w:t>Studies indicate that proficient blood glucose monitoring enhances glycaemic regulation and diminishes hospitalisations associated with diabetes complications. Healthcare personnel must ensure that patients receive sufficient instruction on interpreting results and responding appropriately to anomalous readings.</w:t>
      </w:r>
    </w:p>
    <w:p w:rsidR="008A05CD" w:rsidP="20A9D5E7" w:rsidRDefault="008A05CD" w14:paraId="489C6B0D" w14:textId="77777777">
      <w:pPr>
        <w:spacing w:line="360" w:lineRule="auto"/>
        <w:jc w:val="both"/>
        <w:rPr>
          <w:rFonts w:ascii="Arial" w:hAnsi="Arial" w:eastAsia="Arial" w:cs="Arial"/>
          <w:b w:val="1"/>
          <w:bCs w:val="1"/>
          <w:sz w:val="22"/>
          <w:szCs w:val="22"/>
        </w:rPr>
      </w:pPr>
    </w:p>
    <w:p w:rsidR="008A05CD" w:rsidP="20A9D5E7" w:rsidRDefault="008A05CD" w14:paraId="33C3BA53" w14:textId="77777777">
      <w:pPr>
        <w:spacing w:line="360" w:lineRule="auto"/>
        <w:jc w:val="both"/>
        <w:rPr>
          <w:rFonts w:ascii="Arial" w:hAnsi="Arial" w:eastAsia="Arial" w:cs="Arial"/>
          <w:b w:val="1"/>
          <w:bCs w:val="1"/>
          <w:sz w:val="22"/>
          <w:szCs w:val="22"/>
        </w:rPr>
      </w:pPr>
      <w:r w:rsidRPr="20A9D5E7" w:rsidR="008A05CD">
        <w:rPr>
          <w:rFonts w:ascii="Arial" w:hAnsi="Arial" w:eastAsia="Arial" w:cs="Arial"/>
          <w:b w:val="1"/>
          <w:bCs w:val="1"/>
          <w:sz w:val="22"/>
          <w:szCs w:val="22"/>
        </w:rPr>
        <w:t>Recommendations for Lifestyle Based on Evidence</w:t>
      </w:r>
    </w:p>
    <w:p w:rsidR="008A05CD" w:rsidP="6478A8E7" w:rsidRDefault="008A05CD" w14:paraId="76CFCB81" w14:textId="77777777">
      <w:pPr>
        <w:spacing w:line="360" w:lineRule="auto"/>
        <w:jc w:val="both"/>
        <w:rPr>
          <w:rFonts w:ascii="Arial" w:hAnsi="Arial" w:eastAsia="Arial" w:cs="Arial"/>
          <w:sz w:val="22"/>
          <w:szCs w:val="22"/>
        </w:rPr>
      </w:pPr>
      <w:r w:rsidRPr="1D1714C2">
        <w:rPr>
          <w:rFonts w:ascii="Arial" w:hAnsi="Arial" w:eastAsia="Arial" w:cs="Arial"/>
          <w:sz w:val="22"/>
          <w:szCs w:val="22"/>
        </w:rPr>
        <w:t>Lifestyle modification is regarded as one of the most efficacious strategies for the prevention and management of Type 2 diabetes. Interventions grounded in evidence that emphasise diet, physical activity, smoking cessation, and weight management can markedly enhance glycaemic control and overall health outcomes.</w:t>
      </w:r>
    </w:p>
    <w:p w:rsidR="008A05CD" w:rsidP="6478A8E7" w:rsidRDefault="008A05CD" w14:paraId="1CBF0D66" w14:textId="35694C92">
      <w:pPr>
        <w:spacing w:line="360" w:lineRule="auto"/>
        <w:jc w:val="both"/>
        <w:rPr>
          <w:rFonts w:ascii="Arial" w:hAnsi="Arial" w:eastAsia="Arial" w:cs="Arial"/>
          <w:sz w:val="22"/>
          <w:szCs w:val="22"/>
        </w:rPr>
      </w:pPr>
      <w:r w:rsidRPr="20A9D5E7" w:rsidR="54FED508">
        <w:rPr>
          <w:rFonts w:ascii="Arial" w:hAnsi="Arial" w:eastAsia="Arial" w:cs="Arial"/>
          <w:sz w:val="22"/>
          <w:szCs w:val="22"/>
        </w:rPr>
        <w:t>Healthy</w:t>
      </w:r>
      <w:r w:rsidRPr="20A9D5E7" w:rsidR="008A05CD">
        <w:rPr>
          <w:rFonts w:ascii="Arial" w:hAnsi="Arial" w:eastAsia="Arial" w:cs="Arial"/>
          <w:sz w:val="22"/>
          <w:szCs w:val="22"/>
        </w:rPr>
        <w:t xml:space="preserve"> Diet</w:t>
      </w:r>
    </w:p>
    <w:p w:rsidR="008A05CD" w:rsidP="6478A8E7" w:rsidRDefault="008A05CD" w14:paraId="6871CD5B" w14:textId="77777777">
      <w:pPr>
        <w:spacing w:line="360" w:lineRule="auto"/>
        <w:jc w:val="both"/>
        <w:rPr>
          <w:rFonts w:ascii="Arial" w:hAnsi="Arial" w:eastAsia="Arial" w:cs="Arial"/>
          <w:sz w:val="22"/>
          <w:szCs w:val="22"/>
        </w:rPr>
      </w:pPr>
      <w:r w:rsidRPr="1D1714C2">
        <w:rPr>
          <w:rFonts w:ascii="Arial" w:hAnsi="Arial" w:eastAsia="Arial" w:cs="Arial"/>
          <w:sz w:val="22"/>
          <w:szCs w:val="22"/>
        </w:rPr>
        <w:t>Dietary control is fundamental to diabetes treatment. A balanced diet aids in regulating blood glucose levels, sustaining a healthy body weight, and mitigating cardiovascular risk factors. Patients ought to be urged to adopt a diet abundant in whole grains, vegetables, fruits, legumes, and lean protein sources.</w:t>
      </w:r>
    </w:p>
    <w:p w:rsidR="008A05CD" w:rsidP="6478A8E7" w:rsidRDefault="008A05CD" w14:paraId="70E00AF3" w14:textId="77777777">
      <w:pPr>
        <w:spacing w:line="360" w:lineRule="auto"/>
        <w:jc w:val="both"/>
        <w:rPr>
          <w:rFonts w:ascii="Arial" w:hAnsi="Arial" w:eastAsia="Arial" w:cs="Arial"/>
          <w:sz w:val="22"/>
          <w:szCs w:val="22"/>
        </w:rPr>
      </w:pPr>
      <w:r w:rsidRPr="1D1714C2">
        <w:rPr>
          <w:rFonts w:ascii="Arial" w:hAnsi="Arial" w:eastAsia="Arial" w:cs="Arial"/>
          <w:sz w:val="22"/>
          <w:szCs w:val="22"/>
        </w:rPr>
        <w:t>Foods having a low glycaemic index (GI) are advised as they gradually release glucose into the bloodstream, mitigating abrupt spikes in blood sugar levels. Patients should minimise the intake of sugary drinks, processed foods, and items rich in saturated fats.</w:t>
      </w:r>
    </w:p>
    <w:p w:rsidR="008A05CD" w:rsidP="6478A8E7" w:rsidRDefault="008A05CD" w14:paraId="5E1105E2" w14:textId="654CC9B2">
      <w:pPr>
        <w:spacing w:line="360" w:lineRule="auto"/>
        <w:jc w:val="both"/>
        <w:rPr>
          <w:rFonts w:ascii="Arial" w:hAnsi="Arial" w:eastAsia="Arial" w:cs="Arial"/>
          <w:sz w:val="22"/>
          <w:szCs w:val="22"/>
        </w:rPr>
      </w:pPr>
      <w:r w:rsidRPr="20A9D5E7" w:rsidR="008A05CD">
        <w:rPr>
          <w:rFonts w:ascii="Arial" w:hAnsi="Arial" w:eastAsia="Arial" w:cs="Arial"/>
          <w:sz w:val="22"/>
          <w:szCs w:val="22"/>
        </w:rPr>
        <w:t>Portion</w:t>
      </w:r>
      <w:r w:rsidRPr="20A9D5E7" w:rsidR="008A05CD">
        <w:rPr>
          <w:rFonts w:ascii="Arial" w:hAnsi="Arial" w:eastAsia="Arial" w:cs="Arial"/>
          <w:sz w:val="22"/>
          <w:szCs w:val="22"/>
        </w:rPr>
        <w:t xml:space="preserve"> control is crucial, as excessive caloric consumption leads to obesity and insulin resistance. Healthcare providers may recommend that patients adhere to structured meal programs or consult with dietitians for support.</w:t>
      </w:r>
      <w:r w:rsidRPr="20A9D5E7" w:rsidR="32465A50">
        <w:rPr>
          <w:rFonts w:ascii="Arial" w:hAnsi="Arial" w:eastAsia="Arial" w:cs="Arial"/>
          <w:sz w:val="22"/>
          <w:szCs w:val="22"/>
        </w:rPr>
        <w:t xml:space="preserve"> Also et</w:t>
      </w:r>
    </w:p>
    <w:p w:rsidR="008A05CD" w:rsidP="6478A8E7" w:rsidRDefault="008A05CD" w14:paraId="4E1BA7CF" w14:textId="77777777">
      <w:pPr>
        <w:spacing w:line="360" w:lineRule="auto"/>
        <w:jc w:val="both"/>
        <w:rPr>
          <w:rFonts w:ascii="Arial" w:hAnsi="Arial" w:eastAsia="Arial" w:cs="Arial"/>
          <w:sz w:val="22"/>
          <w:szCs w:val="22"/>
        </w:rPr>
      </w:pPr>
      <w:r w:rsidRPr="1D1714C2">
        <w:rPr>
          <w:rFonts w:ascii="Arial" w:hAnsi="Arial" w:eastAsia="Arial" w:cs="Arial"/>
          <w:sz w:val="22"/>
          <w:szCs w:val="22"/>
        </w:rPr>
        <w:t>Data from the Diabetes Prevention Program has shown that dietary changes coupled with moderate weight loss substantially diminish the likelihood of acquiring Type 2 diabetes in those at high risk.</w:t>
      </w:r>
    </w:p>
    <w:p w:rsidR="008A05CD" w:rsidP="6478A8E7" w:rsidRDefault="008A05CD" w14:paraId="1601A1F1" w14:textId="77777777">
      <w:pPr>
        <w:spacing w:line="360" w:lineRule="auto"/>
        <w:jc w:val="both"/>
        <w:rPr>
          <w:rFonts w:ascii="Arial" w:hAnsi="Arial" w:eastAsia="Arial" w:cs="Arial"/>
          <w:sz w:val="22"/>
          <w:szCs w:val="22"/>
        </w:rPr>
      </w:pPr>
      <w:r w:rsidRPr="1D1714C2">
        <w:rPr>
          <w:rFonts w:ascii="Arial" w:hAnsi="Arial" w:eastAsia="Arial" w:cs="Arial"/>
          <w:sz w:val="22"/>
          <w:szCs w:val="22"/>
        </w:rPr>
        <w:t>Exercise</w:t>
      </w:r>
    </w:p>
    <w:p w:rsidR="008A05CD" w:rsidP="6478A8E7" w:rsidRDefault="008A05CD" w14:paraId="57AE6A0C" w14:textId="77777777">
      <w:pPr>
        <w:spacing w:line="360" w:lineRule="auto"/>
        <w:jc w:val="both"/>
        <w:rPr>
          <w:rFonts w:ascii="Arial" w:hAnsi="Arial" w:eastAsia="Arial" w:cs="Arial"/>
          <w:sz w:val="22"/>
          <w:szCs w:val="22"/>
        </w:rPr>
      </w:pPr>
      <w:r w:rsidRPr="1D1714C2">
        <w:rPr>
          <w:rFonts w:ascii="Arial" w:hAnsi="Arial" w:eastAsia="Arial" w:cs="Arial"/>
          <w:sz w:val="22"/>
          <w:szCs w:val="22"/>
        </w:rPr>
        <w:t>Consistent physical activity augments insulin sensitivity and facilitates glucose absorption in muscles. Exercise facilitates weight loss, enhances cardiovascular fitness, and lowers blood pressure.</w:t>
      </w:r>
    </w:p>
    <w:p w:rsidR="008A05CD" w:rsidP="6478A8E7" w:rsidRDefault="008A05CD" w14:paraId="592743D9" w14:textId="77777777">
      <w:pPr>
        <w:spacing w:line="360" w:lineRule="auto"/>
        <w:jc w:val="both"/>
        <w:rPr>
          <w:rFonts w:ascii="Arial" w:hAnsi="Arial" w:eastAsia="Arial" w:cs="Arial"/>
          <w:sz w:val="22"/>
          <w:szCs w:val="22"/>
        </w:rPr>
      </w:pPr>
      <w:r w:rsidRPr="1D1714C2">
        <w:rPr>
          <w:rFonts w:ascii="Arial" w:hAnsi="Arial" w:eastAsia="Arial" w:cs="Arial"/>
          <w:sz w:val="22"/>
          <w:szCs w:val="22"/>
        </w:rPr>
        <w:t>Current standards advocate for a minimum of 150 minutes of moderate-intensity aerobic exercise weekly, including activities such as brisk walking, swimming, or cycling. Resistance training is advantageous as enhanced muscle mass optimises glucose usage.</w:t>
      </w:r>
    </w:p>
    <w:p w:rsidR="008A05CD" w:rsidP="6478A8E7" w:rsidRDefault="008A05CD" w14:paraId="5262AE7A" w14:textId="3E223303">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Physical activity reduces blood glucose levels both during and </w:t>
      </w:r>
      <w:r w:rsidRPr="20A9D5E7" w:rsidR="70A6C042">
        <w:rPr>
          <w:rFonts w:ascii="Arial" w:hAnsi="Arial" w:eastAsia="Arial" w:cs="Arial"/>
          <w:sz w:val="22"/>
          <w:szCs w:val="22"/>
        </w:rPr>
        <w:t>after</w:t>
      </w:r>
      <w:r w:rsidRPr="20A9D5E7" w:rsidR="008A05CD">
        <w:rPr>
          <w:rFonts w:ascii="Arial" w:hAnsi="Arial" w:eastAsia="Arial" w:cs="Arial"/>
          <w:sz w:val="22"/>
          <w:szCs w:val="22"/>
        </w:rPr>
        <w:t xml:space="preserve"> the exercise. Patients utilising insulin or glucose-lowering medicines must meticulously </w:t>
      </w:r>
      <w:r w:rsidRPr="20A9D5E7" w:rsidR="008A05CD">
        <w:rPr>
          <w:rFonts w:ascii="Arial" w:hAnsi="Arial" w:eastAsia="Arial" w:cs="Arial"/>
          <w:sz w:val="22"/>
          <w:szCs w:val="22"/>
        </w:rPr>
        <w:t>monitor</w:t>
      </w:r>
      <w:r w:rsidRPr="20A9D5E7" w:rsidR="008A05CD">
        <w:rPr>
          <w:rFonts w:ascii="Arial" w:hAnsi="Arial" w:eastAsia="Arial" w:cs="Arial"/>
          <w:sz w:val="22"/>
          <w:szCs w:val="22"/>
        </w:rPr>
        <w:t xml:space="preserve"> blood glucose levels to prevent </w:t>
      </w:r>
      <w:r w:rsidRPr="20A9D5E7" w:rsidR="008A05CD">
        <w:rPr>
          <w:rFonts w:ascii="Arial" w:hAnsi="Arial" w:eastAsia="Arial" w:cs="Arial"/>
          <w:sz w:val="22"/>
          <w:szCs w:val="22"/>
        </w:rPr>
        <w:t>hypoglycemia</w:t>
      </w:r>
      <w:r w:rsidRPr="20A9D5E7" w:rsidR="008A05CD">
        <w:rPr>
          <w:rFonts w:ascii="Arial" w:hAnsi="Arial" w:eastAsia="Arial" w:cs="Arial"/>
          <w:sz w:val="22"/>
          <w:szCs w:val="22"/>
        </w:rPr>
        <w:t>.</w:t>
      </w:r>
    </w:p>
    <w:p w:rsidR="008A05CD" w:rsidP="6478A8E7" w:rsidRDefault="008A05CD" w14:paraId="2ECC6593" w14:textId="4B4A4C19">
      <w:pPr>
        <w:spacing w:line="360" w:lineRule="auto"/>
        <w:jc w:val="both"/>
        <w:rPr>
          <w:rFonts w:ascii="Arial" w:hAnsi="Arial" w:eastAsia="Arial" w:cs="Arial"/>
          <w:sz w:val="22"/>
          <w:szCs w:val="22"/>
        </w:rPr>
      </w:pPr>
      <w:r w:rsidRPr="20A9D5E7" w:rsidR="008A05CD">
        <w:rPr>
          <w:rFonts w:ascii="Arial" w:hAnsi="Arial" w:eastAsia="Arial" w:cs="Arial"/>
          <w:sz w:val="22"/>
          <w:szCs w:val="22"/>
        </w:rPr>
        <w:t>Smoking</w:t>
      </w:r>
      <w:r w:rsidRPr="20A9D5E7" w:rsidR="0037621B">
        <w:rPr>
          <w:rFonts w:ascii="Arial" w:hAnsi="Arial" w:eastAsia="Arial" w:cs="Arial"/>
          <w:sz w:val="22"/>
          <w:szCs w:val="22"/>
        </w:rPr>
        <w:t xml:space="preserve"> cessation</w:t>
      </w:r>
    </w:p>
    <w:p w:rsidR="008A05CD" w:rsidP="6478A8E7" w:rsidRDefault="008A05CD" w14:paraId="7261776A" w14:textId="77777777">
      <w:pPr>
        <w:spacing w:line="360" w:lineRule="auto"/>
        <w:jc w:val="both"/>
        <w:rPr>
          <w:rFonts w:ascii="Arial" w:hAnsi="Arial" w:eastAsia="Arial" w:cs="Arial"/>
          <w:sz w:val="22"/>
          <w:szCs w:val="22"/>
        </w:rPr>
      </w:pPr>
      <w:r w:rsidRPr="1D1714C2">
        <w:rPr>
          <w:rFonts w:ascii="Arial" w:hAnsi="Arial" w:eastAsia="Arial" w:cs="Arial"/>
          <w:sz w:val="22"/>
          <w:szCs w:val="22"/>
        </w:rPr>
        <w:t>Smoking markedly elevates the risk of cardiovascular disease and problems associated with diabetes. Nicotine exacerbates insulin resistance and impairs blood vessels, heightening the risk of stroke, cardiovascular disease, and peripheral vascular disease.</w:t>
      </w:r>
    </w:p>
    <w:p w:rsidR="008A05CD" w:rsidP="6478A8E7" w:rsidRDefault="008A05CD" w14:paraId="202F147F" w14:textId="77777777">
      <w:pPr>
        <w:spacing w:line="360" w:lineRule="auto"/>
        <w:jc w:val="both"/>
        <w:rPr>
          <w:rFonts w:ascii="Arial" w:hAnsi="Arial" w:eastAsia="Arial" w:cs="Arial"/>
          <w:sz w:val="22"/>
          <w:szCs w:val="22"/>
        </w:rPr>
      </w:pPr>
      <w:r w:rsidRPr="1D1714C2">
        <w:rPr>
          <w:rFonts w:ascii="Arial" w:hAnsi="Arial" w:eastAsia="Arial" w:cs="Arial"/>
          <w:sz w:val="22"/>
          <w:szCs w:val="22"/>
        </w:rPr>
        <w:t>Consequently, smoking cessation is a paramount objective in diabetes management. Patients ought to be provided with assistance via smoking cessation programs, behavioural therapy, and, when suitable, nicotine replacement medicines.</w:t>
      </w:r>
    </w:p>
    <w:p w:rsidR="008A05CD" w:rsidP="6478A8E7" w:rsidRDefault="008A05CD" w14:paraId="493210B2" w14:textId="77777777">
      <w:pPr>
        <w:spacing w:line="360" w:lineRule="auto"/>
        <w:jc w:val="both"/>
        <w:rPr>
          <w:rFonts w:ascii="Arial" w:hAnsi="Arial" w:eastAsia="Arial" w:cs="Arial"/>
          <w:sz w:val="22"/>
          <w:szCs w:val="22"/>
        </w:rPr>
      </w:pPr>
      <w:r w:rsidRPr="1D1714C2">
        <w:rPr>
          <w:rFonts w:ascii="Arial" w:hAnsi="Arial" w:eastAsia="Arial" w:cs="Arial"/>
          <w:sz w:val="22"/>
          <w:szCs w:val="22"/>
        </w:rPr>
        <w:t>Evidence indicates that cessation of smoking enhances circulation, lung function, and glycaemic regulation, while diminishing overall mortality risk.</w:t>
      </w:r>
    </w:p>
    <w:p w:rsidR="008A05CD" w:rsidP="6478A8E7" w:rsidRDefault="008A05CD" w14:paraId="20B75E39" w14:textId="55FCE791">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Weight </w:t>
      </w:r>
      <w:r w:rsidRPr="20A9D5E7" w:rsidR="5793702C">
        <w:rPr>
          <w:rFonts w:ascii="Arial" w:hAnsi="Arial" w:eastAsia="Arial" w:cs="Arial"/>
          <w:sz w:val="22"/>
          <w:szCs w:val="22"/>
        </w:rPr>
        <w:t>management</w:t>
      </w:r>
    </w:p>
    <w:p w:rsidR="008A05CD" w:rsidP="6478A8E7" w:rsidRDefault="008A05CD" w14:paraId="35A67737" w14:textId="77777777">
      <w:pPr>
        <w:spacing w:line="360" w:lineRule="auto"/>
        <w:jc w:val="both"/>
        <w:rPr>
          <w:rFonts w:ascii="Arial" w:hAnsi="Arial" w:eastAsia="Arial" w:cs="Arial"/>
          <w:sz w:val="22"/>
          <w:szCs w:val="22"/>
        </w:rPr>
      </w:pPr>
      <w:r w:rsidRPr="1D1714C2">
        <w:rPr>
          <w:rFonts w:ascii="Arial" w:hAnsi="Arial" w:eastAsia="Arial" w:cs="Arial"/>
          <w:sz w:val="22"/>
          <w:szCs w:val="22"/>
        </w:rPr>
        <w:t>Obesity is significantly correlated with insulin resistance. Weight loss can enhance insulin sensitivity and potentially decrease the necessity for medication. Studies demonstrate that a mere 5–10% decrease in body weight can markedly enhance blood glucose regulation.</w:t>
      </w:r>
    </w:p>
    <w:p w:rsidR="008A05CD" w:rsidP="6478A8E7" w:rsidRDefault="008A05CD" w14:paraId="4E384FE6" w14:textId="77777777">
      <w:pPr>
        <w:spacing w:line="360" w:lineRule="auto"/>
        <w:jc w:val="both"/>
        <w:rPr>
          <w:rFonts w:ascii="Arial" w:hAnsi="Arial" w:eastAsia="Arial" w:cs="Arial"/>
          <w:sz w:val="22"/>
          <w:szCs w:val="22"/>
        </w:rPr>
      </w:pPr>
      <w:r w:rsidRPr="1D1714C2">
        <w:rPr>
          <w:rFonts w:ascii="Arial" w:hAnsi="Arial" w:eastAsia="Arial" w:cs="Arial"/>
          <w:sz w:val="22"/>
          <w:szCs w:val="22"/>
        </w:rPr>
        <w:t>Patients ought to be motivated to implement persistent lifestyle modifications instead of temporary restricted diets. Collaborative assistance from nurses, nutritionists, and exercise specialists may enhance long-term outcomes.</w:t>
      </w:r>
    </w:p>
    <w:p w:rsidR="008A05CD" w:rsidP="6478A8E7" w:rsidRDefault="008A05CD" w14:paraId="615DF901" w14:textId="78F7FEFD">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Stress </w:t>
      </w:r>
      <w:r w:rsidRPr="20A9D5E7" w:rsidR="30D6B1A4">
        <w:rPr>
          <w:rFonts w:ascii="Arial" w:hAnsi="Arial" w:eastAsia="Arial" w:cs="Arial"/>
          <w:sz w:val="22"/>
          <w:szCs w:val="22"/>
        </w:rPr>
        <w:t>management</w:t>
      </w:r>
      <w:r w:rsidRPr="20A9D5E7" w:rsidR="008A05CD">
        <w:rPr>
          <w:rFonts w:ascii="Arial" w:hAnsi="Arial" w:eastAsia="Arial" w:cs="Arial"/>
          <w:sz w:val="22"/>
          <w:szCs w:val="22"/>
        </w:rPr>
        <w:t xml:space="preserve"> and Sleep</w:t>
      </w:r>
    </w:p>
    <w:p w:rsidR="008A05CD" w:rsidP="6478A8E7" w:rsidRDefault="008A05CD" w14:paraId="6D267C05" w14:textId="77777777">
      <w:pPr>
        <w:spacing w:line="360" w:lineRule="auto"/>
        <w:jc w:val="both"/>
        <w:rPr>
          <w:rFonts w:ascii="Arial" w:hAnsi="Arial" w:eastAsia="Arial" w:cs="Arial"/>
          <w:sz w:val="22"/>
          <w:szCs w:val="22"/>
        </w:rPr>
      </w:pPr>
      <w:r w:rsidRPr="1D1714C2">
        <w:rPr>
          <w:rFonts w:ascii="Arial" w:hAnsi="Arial" w:eastAsia="Arial" w:cs="Arial"/>
          <w:sz w:val="22"/>
          <w:szCs w:val="22"/>
        </w:rPr>
        <w:t>Psychological stress and insufficient sleep adversely affect blood glucose control. Stress chemicals like cortisol elevate glucose synthesis in the liver, but inadequate sleep disrupts appetite control and insulin sensitivity.</w:t>
      </w:r>
    </w:p>
    <w:p w:rsidR="008A05CD" w:rsidP="6478A8E7" w:rsidRDefault="008A05CD" w14:paraId="7870B1CA" w14:textId="77777777">
      <w:pPr>
        <w:spacing w:line="360" w:lineRule="auto"/>
        <w:jc w:val="both"/>
        <w:rPr>
          <w:rFonts w:ascii="Arial" w:hAnsi="Arial" w:eastAsia="Arial" w:cs="Arial"/>
          <w:sz w:val="22"/>
          <w:szCs w:val="22"/>
        </w:rPr>
      </w:pPr>
      <w:r w:rsidRPr="1D1714C2">
        <w:rPr>
          <w:rFonts w:ascii="Arial" w:hAnsi="Arial" w:eastAsia="Arial" w:cs="Arial"/>
          <w:sz w:val="22"/>
          <w:szCs w:val="22"/>
        </w:rPr>
        <w:t>Strategies for stress management may encompass mindfulness, relaxation techniques, counselling, and social support. Promoting appropriate sleep patterns can enhance glycaemic regulation.</w:t>
      </w:r>
    </w:p>
    <w:p w:rsidR="008A05CD" w:rsidP="6478A8E7" w:rsidRDefault="008A05CD" w14:paraId="16619AD5" w14:textId="77777777">
      <w:pPr>
        <w:spacing w:line="360" w:lineRule="auto"/>
        <w:jc w:val="both"/>
        <w:rPr>
          <w:rFonts w:ascii="Arial" w:hAnsi="Arial" w:eastAsia="Arial" w:cs="Arial"/>
          <w:sz w:val="22"/>
          <w:szCs w:val="22"/>
        </w:rPr>
      </w:pPr>
    </w:p>
    <w:p w:rsidR="008A05CD" w:rsidP="20A9D5E7" w:rsidRDefault="008A05CD" w14:paraId="397D8804" w14:textId="6AF3DC11">
      <w:pPr>
        <w:spacing w:line="360" w:lineRule="auto"/>
        <w:jc w:val="both"/>
        <w:rPr>
          <w:rFonts w:ascii="Arial" w:hAnsi="Arial" w:eastAsia="Arial" w:cs="Arial"/>
          <w:b w:val="1"/>
          <w:bCs w:val="1"/>
          <w:sz w:val="22"/>
          <w:szCs w:val="22"/>
        </w:rPr>
      </w:pPr>
      <w:r w:rsidRPr="20A9D5E7" w:rsidR="3F97D8D7">
        <w:rPr>
          <w:rFonts w:ascii="Arial" w:hAnsi="Arial" w:eastAsia="Arial" w:cs="Arial"/>
          <w:b w:val="1"/>
          <w:bCs w:val="1"/>
          <w:sz w:val="22"/>
          <w:szCs w:val="22"/>
        </w:rPr>
        <w:t>Conclusion</w:t>
      </w:r>
    </w:p>
    <w:p w:rsidR="008A05CD" w:rsidP="6478A8E7" w:rsidRDefault="008A05CD" w14:paraId="1FD7C27E" w14:textId="77777777">
      <w:pPr>
        <w:spacing w:line="360" w:lineRule="auto"/>
        <w:jc w:val="both"/>
        <w:rPr>
          <w:rFonts w:ascii="Arial" w:hAnsi="Arial" w:eastAsia="Arial" w:cs="Arial"/>
          <w:sz w:val="22"/>
          <w:szCs w:val="22"/>
        </w:rPr>
      </w:pPr>
      <w:r w:rsidRPr="1D1714C2">
        <w:rPr>
          <w:rFonts w:ascii="Arial" w:hAnsi="Arial" w:eastAsia="Arial" w:cs="Arial"/>
          <w:sz w:val="22"/>
          <w:szCs w:val="22"/>
        </w:rPr>
        <w:t>Diabetes mellitus is a persistent illness that poses considerable difficulties for both patients and healthcare systems. Type 2 diabetes is closely linked to alterable lifestyle factors like obesity, sedentary behaviour, poor nutrition, and tobacco use. Effective management necessitates a synthesis of medical intervention, continuous monitoring, and patient education.</w:t>
      </w:r>
    </w:p>
    <w:p w:rsidR="008A05CD" w:rsidP="6478A8E7" w:rsidRDefault="008A05CD" w14:paraId="334D28BA" w14:textId="77777777">
      <w:pPr>
        <w:spacing w:line="360" w:lineRule="auto"/>
        <w:jc w:val="both"/>
        <w:rPr>
          <w:rFonts w:ascii="Arial" w:hAnsi="Arial" w:eastAsia="Arial" w:cs="Arial"/>
          <w:sz w:val="22"/>
          <w:szCs w:val="22"/>
        </w:rPr>
      </w:pPr>
      <w:r w:rsidRPr="1D1714C2">
        <w:rPr>
          <w:rFonts w:ascii="Arial" w:hAnsi="Arial" w:eastAsia="Arial" w:cs="Arial"/>
          <w:sz w:val="22"/>
          <w:szCs w:val="22"/>
        </w:rPr>
        <w:t>The regulation of blood glucose relies on the synchronised functions of insulin and glucagon to sustain homeostasis. Glucose and oxygen are vital for cellular respiration and ATP synthesis, underscoring the necessity of maintaining proper glucose regulation for optimal bodily performance.</w:t>
      </w:r>
    </w:p>
    <w:p w:rsidR="008A05CD" w:rsidP="6478A8E7" w:rsidRDefault="008A05CD" w14:paraId="32202FF4" w14:textId="77777777">
      <w:pPr>
        <w:spacing w:line="360" w:lineRule="auto"/>
        <w:jc w:val="both"/>
        <w:rPr>
          <w:rFonts w:ascii="Arial" w:hAnsi="Arial" w:eastAsia="Arial" w:cs="Arial"/>
          <w:sz w:val="22"/>
          <w:szCs w:val="22"/>
        </w:rPr>
      </w:pPr>
      <w:r w:rsidRPr="1D1714C2">
        <w:rPr>
          <w:rFonts w:ascii="Arial" w:hAnsi="Arial" w:eastAsia="Arial" w:cs="Arial"/>
          <w:sz w:val="22"/>
          <w:szCs w:val="22"/>
        </w:rPr>
        <w:t>Monitoring and documenting blood glucose levels allows patients with Type 2 diabetes to oversee their status, recognise behavioural impacts on glucose regulation, and engage proactively in their management. Monitoring assists healthcare providers in assessing therapy efficacy and averting problems.</w:t>
      </w:r>
    </w:p>
    <w:p w:rsidR="008A05CD" w:rsidP="6478A8E7" w:rsidRDefault="008A05CD" w14:paraId="17DC68F4" w14:textId="53A42A60">
      <w:pPr>
        <w:spacing w:line="360" w:lineRule="auto"/>
        <w:jc w:val="both"/>
        <w:rPr>
          <w:rFonts w:ascii="Arial" w:hAnsi="Arial" w:eastAsia="Arial" w:cs="Arial"/>
          <w:sz w:val="22"/>
          <w:szCs w:val="22"/>
        </w:rPr>
      </w:pPr>
      <w:r w:rsidRPr="20A9D5E7" w:rsidR="008A05CD">
        <w:rPr>
          <w:rFonts w:ascii="Arial" w:hAnsi="Arial" w:eastAsia="Arial" w:cs="Arial"/>
          <w:sz w:val="22"/>
          <w:szCs w:val="22"/>
        </w:rPr>
        <w:t xml:space="preserve">Evidence-based lifestyle therapies, such as nutritious dietary practices, consistent physical activity, smoking cessation, weight control, and stress alleviation, are essential for enhancing diabetes outcomes. </w:t>
      </w:r>
      <w:r w:rsidRPr="20A9D5E7" w:rsidR="12363979">
        <w:rPr>
          <w:rFonts w:ascii="Arial" w:hAnsi="Arial" w:eastAsia="Arial" w:cs="Arial"/>
          <w:sz w:val="22"/>
          <w:szCs w:val="22"/>
        </w:rPr>
        <w:t xml:space="preserve">Educating patients about their condition, </w:t>
      </w:r>
      <w:r w:rsidRPr="20A9D5E7" w:rsidR="008A05CD">
        <w:rPr>
          <w:rFonts w:ascii="Arial" w:hAnsi="Arial" w:eastAsia="Arial" w:cs="Arial"/>
          <w:sz w:val="22"/>
          <w:szCs w:val="22"/>
        </w:rPr>
        <w:t>means of teaching and support, practicing nurses can enable patients to make educated choices and embrace healthy practices that improve long-term wellbeing and quality of life.</w:t>
      </w:r>
    </w:p>
    <w:p w:rsidR="008A05CD" w:rsidP="6478A8E7" w:rsidRDefault="008A05CD" w14:paraId="7DB30CCA" w14:textId="77777777">
      <w:pPr>
        <w:spacing w:line="360" w:lineRule="auto"/>
        <w:jc w:val="both"/>
        <w:rPr>
          <w:rFonts w:ascii="Arial" w:hAnsi="Arial" w:eastAsia="Arial" w:cs="Arial"/>
          <w:sz w:val="22"/>
          <w:szCs w:val="22"/>
        </w:rPr>
      </w:pPr>
    </w:p>
    <w:p w:rsidR="008A05CD" w:rsidP="6478A8E7" w:rsidRDefault="008A05CD" w14:paraId="58FE8B68" w14:textId="77777777">
      <w:pPr>
        <w:spacing w:line="360" w:lineRule="auto"/>
        <w:jc w:val="both"/>
        <w:rPr>
          <w:rFonts w:ascii="Arial" w:hAnsi="Arial" w:eastAsia="Arial" w:cs="Arial"/>
          <w:sz w:val="22"/>
          <w:szCs w:val="22"/>
        </w:rPr>
      </w:pPr>
    </w:p>
    <w:p w:rsidR="008A05CD" w:rsidP="6478A8E7" w:rsidRDefault="008A05CD" w14:paraId="3836EF85" w14:textId="77777777">
      <w:pPr>
        <w:spacing w:line="360" w:lineRule="auto"/>
        <w:jc w:val="both"/>
        <w:rPr>
          <w:rFonts w:ascii="Arial" w:hAnsi="Arial" w:eastAsia="Arial" w:cs="Arial"/>
          <w:sz w:val="22"/>
          <w:szCs w:val="22"/>
        </w:rPr>
      </w:pPr>
    </w:p>
    <w:p w:rsidR="008A05CD" w:rsidP="6478A8E7" w:rsidRDefault="008A05CD" w14:paraId="2E8F99E2" w14:textId="77777777">
      <w:pPr>
        <w:spacing w:line="360" w:lineRule="auto"/>
        <w:jc w:val="both"/>
        <w:rPr>
          <w:rFonts w:ascii="Arial" w:hAnsi="Arial" w:eastAsia="Arial" w:cs="Arial"/>
          <w:sz w:val="22"/>
          <w:szCs w:val="22"/>
        </w:rPr>
      </w:pPr>
    </w:p>
    <w:p w:rsidR="47DEDDFE" w:rsidP="47DEDDFE" w:rsidRDefault="47DEDDFE" w14:paraId="474CEDE7" w14:textId="5D019C07">
      <w:pPr>
        <w:spacing w:line="360" w:lineRule="auto"/>
        <w:jc w:val="both"/>
        <w:rPr>
          <w:rFonts w:ascii="Arial" w:hAnsi="Arial" w:eastAsia="Arial" w:cs="Arial"/>
          <w:sz w:val="22"/>
          <w:szCs w:val="22"/>
        </w:rPr>
      </w:pPr>
    </w:p>
    <w:p w:rsidR="7836B67F" w:rsidP="7836B67F" w:rsidRDefault="7836B67F" w14:paraId="34BE8DF7" w14:textId="4CE79B68">
      <w:pPr>
        <w:spacing w:line="360" w:lineRule="auto"/>
        <w:jc w:val="both"/>
        <w:rPr>
          <w:rFonts w:ascii="Arial" w:hAnsi="Arial" w:eastAsia="Arial" w:cs="Arial"/>
          <w:sz w:val="22"/>
          <w:szCs w:val="22"/>
        </w:rPr>
      </w:pPr>
    </w:p>
    <w:p w:rsidR="20A9D5E7" w:rsidP="20A9D5E7" w:rsidRDefault="20A9D5E7" w14:paraId="670B3FD7" w14:textId="65543596">
      <w:pPr>
        <w:spacing w:line="360" w:lineRule="auto"/>
        <w:jc w:val="both"/>
        <w:rPr>
          <w:rFonts w:ascii="Arial" w:hAnsi="Arial" w:eastAsia="Arial" w:cs="Arial"/>
          <w:sz w:val="22"/>
          <w:szCs w:val="22"/>
        </w:rPr>
      </w:pPr>
    </w:p>
    <w:p w:rsidR="20A9D5E7" w:rsidP="20A9D5E7" w:rsidRDefault="20A9D5E7" w14:paraId="27373FC0" w14:textId="07F0373F">
      <w:pPr>
        <w:spacing w:line="360" w:lineRule="auto"/>
        <w:jc w:val="both"/>
        <w:rPr>
          <w:rFonts w:ascii="Arial" w:hAnsi="Arial" w:eastAsia="Arial" w:cs="Arial"/>
          <w:sz w:val="22"/>
          <w:szCs w:val="22"/>
        </w:rPr>
      </w:pPr>
    </w:p>
    <w:p w:rsidR="20A9D5E7" w:rsidP="20A9D5E7" w:rsidRDefault="20A9D5E7" w14:paraId="33B06921" w14:textId="7D1799B0">
      <w:pPr>
        <w:spacing w:line="360" w:lineRule="auto"/>
        <w:jc w:val="both"/>
        <w:rPr>
          <w:rFonts w:ascii="Arial" w:hAnsi="Arial" w:eastAsia="Arial" w:cs="Arial"/>
          <w:sz w:val="22"/>
          <w:szCs w:val="22"/>
        </w:rPr>
      </w:pPr>
    </w:p>
    <w:p w:rsidR="20A9D5E7" w:rsidP="20A9D5E7" w:rsidRDefault="20A9D5E7" w14:paraId="761A4999" w14:textId="0F89C772">
      <w:pPr>
        <w:spacing w:line="360" w:lineRule="auto"/>
        <w:jc w:val="both"/>
        <w:rPr>
          <w:rFonts w:ascii="Arial" w:hAnsi="Arial" w:eastAsia="Arial" w:cs="Arial"/>
          <w:sz w:val="22"/>
          <w:szCs w:val="22"/>
        </w:rPr>
      </w:pPr>
    </w:p>
    <w:p w:rsidR="20A9D5E7" w:rsidP="20A9D5E7" w:rsidRDefault="20A9D5E7" w14:paraId="20E671E0" w14:textId="18D36460">
      <w:pPr>
        <w:spacing w:line="360" w:lineRule="auto"/>
        <w:jc w:val="both"/>
        <w:rPr>
          <w:rFonts w:ascii="Arial" w:hAnsi="Arial" w:eastAsia="Arial" w:cs="Arial"/>
          <w:sz w:val="22"/>
          <w:szCs w:val="22"/>
        </w:rPr>
      </w:pPr>
    </w:p>
    <w:p w:rsidR="20A9D5E7" w:rsidP="20A9D5E7" w:rsidRDefault="20A9D5E7" w14:paraId="03D8BDC3" w14:textId="0FFB1AB0">
      <w:pPr>
        <w:spacing w:line="360" w:lineRule="auto"/>
        <w:jc w:val="both"/>
        <w:rPr>
          <w:rFonts w:ascii="Arial" w:hAnsi="Arial" w:eastAsia="Arial" w:cs="Arial"/>
          <w:sz w:val="22"/>
          <w:szCs w:val="22"/>
        </w:rPr>
      </w:pPr>
    </w:p>
    <w:p w:rsidR="20A9D5E7" w:rsidP="20A9D5E7" w:rsidRDefault="20A9D5E7" w14:paraId="5B9ED84A" w14:textId="5BC2CD77">
      <w:pPr>
        <w:spacing w:line="360" w:lineRule="auto"/>
        <w:jc w:val="both"/>
        <w:rPr>
          <w:rFonts w:ascii="Arial" w:hAnsi="Arial" w:eastAsia="Arial" w:cs="Arial"/>
          <w:sz w:val="22"/>
          <w:szCs w:val="22"/>
        </w:rPr>
      </w:pPr>
    </w:p>
    <w:p w:rsidR="20A9D5E7" w:rsidP="20A9D5E7" w:rsidRDefault="20A9D5E7" w14:paraId="5047136E" w14:textId="5F59D196">
      <w:pPr>
        <w:spacing w:line="360" w:lineRule="auto"/>
        <w:jc w:val="both"/>
        <w:rPr>
          <w:rFonts w:ascii="Arial" w:hAnsi="Arial" w:eastAsia="Arial" w:cs="Arial"/>
          <w:sz w:val="22"/>
          <w:szCs w:val="22"/>
        </w:rPr>
      </w:pPr>
    </w:p>
    <w:p w:rsidR="20A9D5E7" w:rsidP="20A9D5E7" w:rsidRDefault="20A9D5E7" w14:paraId="7C1171D8" w14:textId="700727AE">
      <w:pPr>
        <w:spacing w:line="360" w:lineRule="auto"/>
        <w:jc w:val="both"/>
        <w:rPr>
          <w:rFonts w:ascii="Arial" w:hAnsi="Arial" w:eastAsia="Arial" w:cs="Arial"/>
          <w:sz w:val="22"/>
          <w:szCs w:val="22"/>
        </w:rPr>
      </w:pPr>
    </w:p>
    <w:p w:rsidR="20A9D5E7" w:rsidP="20A9D5E7" w:rsidRDefault="20A9D5E7" w14:paraId="1FE8551A" w14:textId="76A7BF96">
      <w:pPr>
        <w:spacing w:line="360" w:lineRule="auto"/>
        <w:jc w:val="both"/>
        <w:rPr>
          <w:rFonts w:ascii="Arial" w:hAnsi="Arial" w:eastAsia="Arial" w:cs="Arial"/>
          <w:sz w:val="22"/>
          <w:szCs w:val="22"/>
        </w:rPr>
      </w:pPr>
    </w:p>
    <w:p w:rsidR="20A9D5E7" w:rsidP="20A9D5E7" w:rsidRDefault="20A9D5E7" w14:paraId="7A23670E" w14:textId="5EDD690D">
      <w:pPr>
        <w:spacing w:line="360" w:lineRule="auto"/>
        <w:jc w:val="both"/>
        <w:rPr>
          <w:rFonts w:ascii="Arial" w:hAnsi="Arial" w:eastAsia="Arial" w:cs="Arial"/>
          <w:sz w:val="22"/>
          <w:szCs w:val="22"/>
        </w:rPr>
      </w:pPr>
    </w:p>
    <w:p w:rsidR="20A9D5E7" w:rsidP="20A9D5E7" w:rsidRDefault="20A9D5E7" w14:paraId="30E68E17" w14:textId="32521AE5">
      <w:pPr>
        <w:spacing w:line="360" w:lineRule="auto"/>
        <w:jc w:val="both"/>
        <w:rPr>
          <w:rFonts w:ascii="Arial" w:hAnsi="Arial" w:eastAsia="Arial" w:cs="Arial"/>
          <w:sz w:val="22"/>
          <w:szCs w:val="22"/>
        </w:rPr>
      </w:pPr>
    </w:p>
    <w:p w:rsidR="7836B67F" w:rsidP="7836B67F" w:rsidRDefault="7836B67F" w14:paraId="7D5EE877" w14:textId="2A84A665">
      <w:pPr>
        <w:spacing w:line="360" w:lineRule="auto"/>
        <w:jc w:val="both"/>
        <w:rPr>
          <w:rFonts w:ascii="Arial" w:hAnsi="Arial" w:eastAsia="Arial" w:cs="Arial"/>
          <w:sz w:val="22"/>
          <w:szCs w:val="22"/>
        </w:rPr>
      </w:pPr>
    </w:p>
    <w:p w:rsidR="008A05CD" w:rsidP="1DD8DFC2" w:rsidRDefault="008A05CD" w14:paraId="560F4167" w14:textId="77777777">
      <w:pPr>
        <w:jc w:val="center"/>
        <w:rPr>
          <w:b/>
          <w:bCs/>
          <w:i/>
          <w:iCs/>
          <w:sz w:val="36"/>
          <w:szCs w:val="36"/>
          <w:u w:val="single"/>
        </w:rPr>
      </w:pPr>
      <w:r w:rsidRPr="746CFB05">
        <w:rPr>
          <w:b/>
          <w:bCs/>
          <w:i/>
          <w:iCs/>
          <w:sz w:val="36"/>
          <w:szCs w:val="36"/>
          <w:u w:val="single"/>
        </w:rPr>
        <w:t>REFERENCES:</w:t>
      </w:r>
    </w:p>
    <w:p w:rsidR="4E6F3845" w:rsidRDefault="4E6F3845" w14:paraId="28A93491" w14:textId="4DDF2231"/>
    <w:p w:rsidR="008A05CD" w:rsidP="20A9D5E7" w:rsidRDefault="008A05CD" w14:paraId="6848BEE9" w14:textId="1326B940">
      <w:pPr>
        <w:spacing w:before="0" w:beforeAutospacing="off" w:after="0" w:afterAutospacing="off"/>
      </w:pPr>
      <w:r w:rsidR="008A05CD">
        <w:rPr/>
        <w:t xml:space="preserve">Standards of Care in Diabetes by the American Diabetes Association (2024). Accessible at: American Diabetes Association </w:t>
      </w:r>
    </w:p>
    <w:p w:rsidR="008A05CD" w:rsidP="20A9D5E7" w:rsidRDefault="008A05CD" w14:paraId="53D49A0C" w14:textId="6E63F036">
      <w:pPr>
        <w:spacing w:before="0" w:beforeAutospacing="off" w:after="0" w:afterAutospacing="off"/>
      </w:pPr>
      <w:r>
        <w:br/>
      </w:r>
      <w:r w:rsidRPr="20A9D5E7" w:rsidR="7A4BC5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Diabetes UK (2024). </w:t>
      </w:r>
      <w:r w:rsidRPr="20A9D5E7" w:rsidR="7A4BC50F">
        <w:rPr>
          <w:rFonts w:ascii="Calibri" w:hAnsi="Calibri" w:eastAsia="Calibri" w:cs="Calibri"/>
          <w:b w:val="0"/>
          <w:bCs w:val="0"/>
          <w:i w:val="1"/>
          <w:iCs w:val="1"/>
          <w:caps w:val="0"/>
          <w:smallCaps w:val="0"/>
          <w:noProof w:val="0"/>
          <w:color w:val="000000" w:themeColor="text1" w:themeTint="FF" w:themeShade="FF"/>
          <w:sz w:val="27"/>
          <w:szCs w:val="27"/>
          <w:lang w:val="en-GB"/>
        </w:rPr>
        <w:t>Differences between Type 1 and Type 2 diabetes</w:t>
      </w:r>
      <w:r w:rsidRPr="20A9D5E7" w:rsidR="7A4BC5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Diabetes UK. Available at: </w:t>
      </w:r>
      <w:hyperlink r:id="R98c608e3b9774bdf">
        <w:r w:rsidRPr="20A9D5E7" w:rsidR="7A4BC50F">
          <w:rPr>
            <w:rStyle w:val="Hyperlink"/>
            <w:b w:val="0"/>
            <w:bCs w:val="0"/>
            <w:i w:val="0"/>
            <w:iCs w:val="0"/>
            <w:caps w:val="0"/>
            <w:smallCaps w:val="0"/>
            <w:noProof w:val="0"/>
            <w:lang w:val="en-GB"/>
          </w:rPr>
          <w:t>https://www.diabetes.org.uk/diabetes-the-basics/differences-between-type-1-and-type-2-diabetes</w:t>
        </w:r>
      </w:hyperlink>
      <w:r w:rsidRPr="20A9D5E7" w:rsidR="7A4BC50F">
        <w:rPr>
          <w:rFonts w:ascii="Calibri" w:hAnsi="Calibri" w:eastAsia="Calibri" w:cs="Calibri"/>
          <w:b w:val="0"/>
          <w:bCs w:val="0"/>
          <w:i w:val="0"/>
          <w:iCs w:val="0"/>
          <w:caps w:val="0"/>
          <w:smallCaps w:val="0"/>
          <w:noProof w:val="0"/>
          <w:color w:val="000000" w:themeColor="text1" w:themeTint="FF" w:themeShade="FF"/>
          <w:sz w:val="27"/>
          <w:szCs w:val="27"/>
          <w:lang w:val="en-GB"/>
        </w:rPr>
        <w:t>.(accessed, 5</w:t>
      </w:r>
      <w:r w:rsidRPr="20A9D5E7" w:rsidR="7A4BC50F">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20A9D5E7" w:rsidR="7A4BC50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June 2026)</w:t>
      </w:r>
    </w:p>
    <w:p w:rsidR="008A05CD" w:rsidP="20A9D5E7" w:rsidRDefault="008A05CD" w14:paraId="2C8F95C1" w14:textId="151E8C9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8A05CD" w:rsidP="20A9D5E7" w:rsidRDefault="008A05CD" w14:paraId="224CDF24" w14:textId="26F22EE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0A9D5E7" w:rsidR="1A7461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Diabetes UK. (2026). How to prevent type 2 diabetes. [online] Available at: </w:t>
      </w:r>
      <w:hyperlink r:id="Re96994429fb44b7f">
        <w:r w:rsidRPr="20A9D5E7" w:rsidR="1A746188">
          <w:rPr>
            <w:rStyle w:val="Hyperlink"/>
            <w:b w:val="0"/>
            <w:bCs w:val="0"/>
            <w:i w:val="0"/>
            <w:iCs w:val="0"/>
            <w:caps w:val="0"/>
            <w:smallCaps w:val="0"/>
            <w:noProof w:val="0"/>
            <w:lang w:val="en-GB"/>
          </w:rPr>
          <w:t>https://www.diabetes.org.uk/about-diabetes/type-2-diabetes/prevention/how-to-prevent-type-2-diabetes#5</w:t>
        </w:r>
      </w:hyperlink>
      <w:r w:rsidRPr="20A9D5E7" w:rsidR="1A746188">
        <w:rPr>
          <w:rFonts w:ascii="Calibri" w:hAnsi="Calibri" w:eastAsia="Calibri" w:cs="Calibri"/>
          <w:b w:val="0"/>
          <w:bCs w:val="0"/>
          <w:i w:val="0"/>
          <w:iCs w:val="0"/>
          <w:caps w:val="0"/>
          <w:smallCaps w:val="0"/>
          <w:noProof w:val="0"/>
          <w:color w:val="000000" w:themeColor="text1" w:themeTint="FF" w:themeShade="FF"/>
          <w:sz w:val="24"/>
          <w:szCs w:val="24"/>
          <w:lang w:val="en-GB"/>
        </w:rPr>
        <w:t>. (accessed, 7</w:t>
      </w:r>
      <w:r w:rsidRPr="20A9D5E7" w:rsidR="1A74618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0A9D5E7" w:rsidR="1A7461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June 2026)</w:t>
      </w:r>
    </w:p>
    <w:p w:rsidR="008A05CD" w:rsidP="008A05CD" w:rsidRDefault="008A05CD" w14:paraId="3350C515" w14:textId="77777777">
      <w:r>
        <w:t xml:space="preserve">National Institute for Health and Care Excellence (NICE) (2022) Management of Type 2 Diabetes in Adults (NG28). Accessible at: NICE Guidelines </w:t>
      </w:r>
    </w:p>
    <w:p w:rsidR="70AF3C2C" w:rsidP="336BC5E9" w:rsidRDefault="70AF3C2C" w14:paraId="79270139" w14:textId="56C7B95E">
      <w:pPr>
        <w:spacing w:after="0"/>
      </w:pPr>
      <w:r w:rsidRPr="20A9D5E7" w:rsidR="70AF3C2C">
        <w:rPr>
          <w:rFonts w:ascii="Calibri" w:hAnsi="Calibri" w:eastAsia="Calibri" w:cs="Calibri"/>
          <w:color w:val="000000" w:themeColor="text1" w:themeTint="FF" w:themeShade="FF"/>
          <w:sz w:val="27"/>
          <w:szCs w:val="27"/>
        </w:rPr>
        <w:t xml:space="preserve">NHS (2023). </w:t>
      </w:r>
      <w:r w:rsidRPr="20A9D5E7" w:rsidR="70AF3C2C">
        <w:rPr>
          <w:rFonts w:ascii="Calibri" w:hAnsi="Calibri" w:eastAsia="Calibri" w:cs="Calibri"/>
          <w:i w:val="1"/>
          <w:iCs w:val="1"/>
          <w:color w:val="000000" w:themeColor="text1" w:themeTint="FF" w:themeShade="FF"/>
          <w:sz w:val="27"/>
          <w:szCs w:val="27"/>
        </w:rPr>
        <w:t>Diabetes</w:t>
      </w:r>
      <w:r w:rsidRPr="20A9D5E7" w:rsidR="70AF3C2C">
        <w:rPr>
          <w:rFonts w:ascii="Calibri" w:hAnsi="Calibri" w:eastAsia="Calibri" w:cs="Calibri"/>
          <w:color w:val="000000" w:themeColor="text1" w:themeTint="FF" w:themeShade="FF"/>
          <w:sz w:val="27"/>
          <w:szCs w:val="27"/>
        </w:rPr>
        <w:t xml:space="preserve">. [online] NHS. Available at: </w:t>
      </w:r>
      <w:hyperlink r:id="R1c2042e1b6744850">
        <w:r w:rsidRPr="20A9D5E7" w:rsidR="70AF3C2C">
          <w:rPr>
            <w:rStyle w:val="Hyperlink"/>
          </w:rPr>
          <w:t>https://www.nhs.uk/conditions/diabetes/</w:t>
        </w:r>
      </w:hyperlink>
      <w:r w:rsidRPr="20A9D5E7" w:rsidR="70AF3C2C">
        <w:rPr>
          <w:rFonts w:ascii="Calibri" w:hAnsi="Calibri" w:eastAsia="Calibri" w:cs="Calibri"/>
          <w:color w:val="000000" w:themeColor="text1" w:themeTint="FF" w:themeShade="FF"/>
          <w:sz w:val="27"/>
          <w:szCs w:val="27"/>
        </w:rPr>
        <w:t>.</w:t>
      </w:r>
      <w:r w:rsidRPr="20A9D5E7" w:rsidR="70AF3C2C">
        <w:rPr>
          <w:rFonts w:ascii="Calibri" w:hAnsi="Calibri" w:eastAsia="Calibri" w:cs="Calibri"/>
          <w:color w:val="000000" w:themeColor="text1" w:themeTint="FF" w:themeShade="FF"/>
          <w:sz w:val="27"/>
          <w:szCs w:val="27"/>
        </w:rPr>
        <w:t xml:space="preserve"> </w:t>
      </w:r>
      <w:r w:rsidRPr="20A9D5E7" w:rsidR="70AF3C2C">
        <w:rPr>
          <w:rFonts w:ascii="Calibri" w:hAnsi="Calibri" w:eastAsia="Calibri" w:cs="Calibri"/>
          <w:color w:val="000000" w:themeColor="text1" w:themeTint="FF" w:themeShade="FF"/>
          <w:sz w:val="27"/>
          <w:szCs w:val="27"/>
        </w:rPr>
        <w:t>(</w:t>
      </w:r>
      <w:r w:rsidRPr="20A9D5E7" w:rsidR="70AF3C2C">
        <w:rPr>
          <w:rFonts w:ascii="Calibri" w:hAnsi="Calibri" w:eastAsia="Calibri" w:cs="Calibri"/>
          <w:color w:val="000000" w:themeColor="text1" w:themeTint="FF" w:themeShade="FF"/>
          <w:sz w:val="27"/>
          <w:szCs w:val="27"/>
        </w:rPr>
        <w:t>accessed</w:t>
      </w:r>
      <w:r w:rsidRPr="20A9D5E7" w:rsidR="70AF3C2C">
        <w:rPr>
          <w:rFonts w:ascii="Calibri" w:hAnsi="Calibri" w:eastAsia="Calibri" w:cs="Calibri"/>
          <w:color w:val="000000" w:themeColor="text1" w:themeTint="FF" w:themeShade="FF"/>
          <w:sz w:val="27"/>
          <w:szCs w:val="27"/>
        </w:rPr>
        <w:t xml:space="preserve">, </w:t>
      </w:r>
      <w:r w:rsidRPr="20A9D5E7" w:rsidR="70AF3C2C">
        <w:rPr>
          <w:rFonts w:ascii="Calibri" w:hAnsi="Calibri" w:eastAsia="Calibri" w:cs="Calibri"/>
          <w:color w:val="000000" w:themeColor="text1" w:themeTint="FF" w:themeShade="FF"/>
          <w:sz w:val="27"/>
          <w:szCs w:val="27"/>
        </w:rPr>
        <w:t>4</w:t>
      </w:r>
      <w:r w:rsidRPr="20A9D5E7" w:rsidR="70AF3C2C">
        <w:rPr>
          <w:rFonts w:ascii="Calibri" w:hAnsi="Calibri" w:eastAsia="Calibri" w:cs="Calibri"/>
          <w:color w:val="000000" w:themeColor="text1" w:themeTint="FF" w:themeShade="FF"/>
          <w:sz w:val="27"/>
          <w:szCs w:val="27"/>
          <w:vertAlign w:val="superscript"/>
        </w:rPr>
        <w:t>th</w:t>
      </w:r>
      <w:r w:rsidRPr="20A9D5E7" w:rsidR="70AF3C2C">
        <w:rPr>
          <w:rFonts w:ascii="Calibri" w:hAnsi="Calibri" w:eastAsia="Calibri" w:cs="Calibri"/>
          <w:color w:val="000000" w:themeColor="text1" w:themeTint="FF" w:themeShade="FF"/>
          <w:sz w:val="27"/>
          <w:szCs w:val="27"/>
        </w:rPr>
        <w:t xml:space="preserve"> June </w:t>
      </w:r>
      <w:r w:rsidRPr="20A9D5E7" w:rsidR="70AF3C2C">
        <w:rPr>
          <w:rFonts w:ascii="Calibri" w:hAnsi="Calibri" w:eastAsia="Calibri" w:cs="Calibri"/>
          <w:color w:val="000000" w:themeColor="text1" w:themeTint="FF" w:themeShade="FF"/>
          <w:sz w:val="27"/>
          <w:szCs w:val="27"/>
        </w:rPr>
        <w:t>2026</w:t>
      </w:r>
      <w:r w:rsidRPr="20A9D5E7" w:rsidR="70AF3C2C">
        <w:rPr>
          <w:rFonts w:ascii="Calibri" w:hAnsi="Calibri" w:eastAsia="Calibri" w:cs="Calibri"/>
          <w:color w:val="000000" w:themeColor="text1" w:themeTint="FF" w:themeShade="FF"/>
          <w:sz w:val="27"/>
          <w:szCs w:val="27"/>
        </w:rPr>
        <w:t>)</w:t>
      </w:r>
    </w:p>
    <w:p w:rsidR="22FBF22F" w:rsidP="20A9D5E7" w:rsidRDefault="22FBF22F" w14:paraId="03C358AE" w14:textId="269F5251">
      <w:pPr>
        <w:spacing w:after="0"/>
        <w:rPr>
          <w:rFonts w:ascii="Calibri" w:hAnsi="Calibri" w:eastAsia="Calibri" w:cs="Calibri"/>
          <w:color w:val="000000" w:themeColor="text1" w:themeTint="FF" w:themeShade="FF"/>
          <w:sz w:val="27"/>
          <w:szCs w:val="27"/>
        </w:rPr>
      </w:pPr>
    </w:p>
    <w:p w:rsidR="22FBF22F" w:rsidP="20A9D5E7" w:rsidRDefault="22FBF22F" w14:paraId="19C89891" w14:textId="0EC1AC00">
      <w:pPr>
        <w:spacing w:after="0"/>
        <w:rPr>
          <w:rFonts w:ascii="Calibri" w:hAnsi="Calibri" w:eastAsia="Calibri" w:cs="Calibri"/>
          <w:color w:val="000000" w:themeColor="text1"/>
          <w:sz w:val="27"/>
          <w:szCs w:val="27"/>
        </w:rPr>
      </w:pPr>
      <w:r w:rsidRPr="20A9D5E7" w:rsidR="5238C9B6">
        <w:rPr>
          <w:rFonts w:ascii="Calibri" w:hAnsi="Calibri" w:eastAsia="Calibri" w:cs="Calibri"/>
          <w:color w:val="000000" w:themeColor="text1" w:themeTint="FF" w:themeShade="FF"/>
          <w:sz w:val="27"/>
          <w:szCs w:val="27"/>
        </w:rPr>
        <w:t xml:space="preserve">Grant, A. (2018). Ross and </w:t>
      </w:r>
      <w:r w:rsidRPr="20A9D5E7" w:rsidR="5238C9B6">
        <w:rPr>
          <w:rFonts w:ascii="Calibri" w:hAnsi="Calibri" w:eastAsia="Calibri" w:cs="Calibri"/>
          <w:color w:val="000000" w:themeColor="text1" w:themeTint="FF" w:themeShade="FF"/>
          <w:sz w:val="27"/>
          <w:szCs w:val="27"/>
        </w:rPr>
        <w:t>wilson</w:t>
      </w:r>
      <w:r w:rsidRPr="20A9D5E7" w:rsidR="5238C9B6">
        <w:rPr>
          <w:rFonts w:ascii="Calibri" w:hAnsi="Calibri" w:eastAsia="Calibri" w:cs="Calibri"/>
          <w:color w:val="000000" w:themeColor="text1" w:themeTint="FF" w:themeShade="FF"/>
          <w:sz w:val="27"/>
          <w:szCs w:val="27"/>
        </w:rPr>
        <w:t xml:space="preserve"> anatomy and physiology in health and illness international edition. Elsevier.</w:t>
      </w:r>
    </w:p>
    <w:p w:rsidR="008A05CD" w:rsidP="008A05CD" w:rsidRDefault="008A05CD" w14:paraId="3CA587A0" w14:textId="77777777">
      <w:r>
        <w:t xml:space="preserve">Overview of Type 2 Diabetes by NHS England (2024). Accessible at: NHS - Overview of Type 2 Diabetes </w:t>
      </w:r>
    </w:p>
    <w:p w:rsidR="008A05CD" w:rsidP="008A05CD" w:rsidRDefault="008A05CD" w14:paraId="3550EC87" w14:textId="77777777">
      <w:r>
        <w:t xml:space="preserve">Tortora, G. Derrickson, B. Principles of Anatomy and Physiology (2021). 16th edition Hoboken: Wiley. </w:t>
      </w:r>
    </w:p>
    <w:p w:rsidR="00BE79A8" w:rsidRDefault="008A05CD" w14:paraId="5E5787A5" w14:textId="7C8EC3FE">
      <w:r>
        <w:t>World Health Organization (2023) Diabetes Fact Sheet. Accessible at: World Health Organization</w:t>
      </w:r>
    </w:p>
    <w:sectPr w:rsidR="00BE79A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iGPvyss1IiIjGt" int2:id="B60Lsly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086810"/>
    <w:rsid w:val="000237D0"/>
    <w:rsid w:val="00026804"/>
    <w:rsid w:val="00055003"/>
    <w:rsid w:val="00081E59"/>
    <w:rsid w:val="00086295"/>
    <w:rsid w:val="00086D47"/>
    <w:rsid w:val="000960DC"/>
    <w:rsid w:val="000C3060"/>
    <w:rsid w:val="000D20DC"/>
    <w:rsid w:val="001406DA"/>
    <w:rsid w:val="00151368"/>
    <w:rsid w:val="00154D73"/>
    <w:rsid w:val="001660AA"/>
    <w:rsid w:val="0017303E"/>
    <w:rsid w:val="00202F17"/>
    <w:rsid w:val="00294364"/>
    <w:rsid w:val="002B1147"/>
    <w:rsid w:val="002C4CB4"/>
    <w:rsid w:val="002F2418"/>
    <w:rsid w:val="002F4CDC"/>
    <w:rsid w:val="00305D93"/>
    <w:rsid w:val="00306336"/>
    <w:rsid w:val="00360E39"/>
    <w:rsid w:val="00364530"/>
    <w:rsid w:val="0037621B"/>
    <w:rsid w:val="003E68AE"/>
    <w:rsid w:val="00422C95"/>
    <w:rsid w:val="004313BD"/>
    <w:rsid w:val="00432E09"/>
    <w:rsid w:val="0046782A"/>
    <w:rsid w:val="00491C20"/>
    <w:rsid w:val="004D6968"/>
    <w:rsid w:val="004D79E7"/>
    <w:rsid w:val="004F3DF6"/>
    <w:rsid w:val="005037FF"/>
    <w:rsid w:val="0054073C"/>
    <w:rsid w:val="0055522F"/>
    <w:rsid w:val="00557521"/>
    <w:rsid w:val="005600DB"/>
    <w:rsid w:val="00581088"/>
    <w:rsid w:val="005A1058"/>
    <w:rsid w:val="005C1938"/>
    <w:rsid w:val="005E2E78"/>
    <w:rsid w:val="005E56FD"/>
    <w:rsid w:val="005F5C6D"/>
    <w:rsid w:val="0062441B"/>
    <w:rsid w:val="00647005"/>
    <w:rsid w:val="006B37DB"/>
    <w:rsid w:val="006E7627"/>
    <w:rsid w:val="006F1A93"/>
    <w:rsid w:val="00707596"/>
    <w:rsid w:val="00715B93"/>
    <w:rsid w:val="00721E9B"/>
    <w:rsid w:val="0072672E"/>
    <w:rsid w:val="0075267B"/>
    <w:rsid w:val="00757B91"/>
    <w:rsid w:val="007A1B0B"/>
    <w:rsid w:val="007A5916"/>
    <w:rsid w:val="007C05FE"/>
    <w:rsid w:val="007F2B06"/>
    <w:rsid w:val="0083763F"/>
    <w:rsid w:val="00870D64"/>
    <w:rsid w:val="008A05CD"/>
    <w:rsid w:val="008D4622"/>
    <w:rsid w:val="008E3E1F"/>
    <w:rsid w:val="008E52EE"/>
    <w:rsid w:val="008E6110"/>
    <w:rsid w:val="008F25FD"/>
    <w:rsid w:val="00903C1C"/>
    <w:rsid w:val="009068F9"/>
    <w:rsid w:val="00916361"/>
    <w:rsid w:val="00920059"/>
    <w:rsid w:val="009205D4"/>
    <w:rsid w:val="00937BC0"/>
    <w:rsid w:val="00953ECC"/>
    <w:rsid w:val="009632AF"/>
    <w:rsid w:val="00970664"/>
    <w:rsid w:val="009A36FF"/>
    <w:rsid w:val="009A4112"/>
    <w:rsid w:val="009B7B81"/>
    <w:rsid w:val="009D1185"/>
    <w:rsid w:val="009D70D3"/>
    <w:rsid w:val="00A029B9"/>
    <w:rsid w:val="00A047D7"/>
    <w:rsid w:val="00A0481A"/>
    <w:rsid w:val="00A224CD"/>
    <w:rsid w:val="00A22F74"/>
    <w:rsid w:val="00A240B1"/>
    <w:rsid w:val="00A40DE9"/>
    <w:rsid w:val="00A5272F"/>
    <w:rsid w:val="00A52B49"/>
    <w:rsid w:val="00A80730"/>
    <w:rsid w:val="00AA02AA"/>
    <w:rsid w:val="00AA5CB9"/>
    <w:rsid w:val="00AD0F7B"/>
    <w:rsid w:val="00B4012A"/>
    <w:rsid w:val="00B53DE2"/>
    <w:rsid w:val="00B56F29"/>
    <w:rsid w:val="00B63CB0"/>
    <w:rsid w:val="00B758BA"/>
    <w:rsid w:val="00BA2E35"/>
    <w:rsid w:val="00BB0C6E"/>
    <w:rsid w:val="00BE79A8"/>
    <w:rsid w:val="00C21278"/>
    <w:rsid w:val="00C258CA"/>
    <w:rsid w:val="00C85214"/>
    <w:rsid w:val="00C94D2F"/>
    <w:rsid w:val="00CA1552"/>
    <w:rsid w:val="00CE1238"/>
    <w:rsid w:val="00D008AA"/>
    <w:rsid w:val="00D022AA"/>
    <w:rsid w:val="00D238FD"/>
    <w:rsid w:val="00D51554"/>
    <w:rsid w:val="00D67624"/>
    <w:rsid w:val="00D80B59"/>
    <w:rsid w:val="00D90B6F"/>
    <w:rsid w:val="00DA3A17"/>
    <w:rsid w:val="00DB56A5"/>
    <w:rsid w:val="00DC406A"/>
    <w:rsid w:val="00DD365F"/>
    <w:rsid w:val="00DD4DB2"/>
    <w:rsid w:val="00DF27AE"/>
    <w:rsid w:val="00E07F1D"/>
    <w:rsid w:val="00E237B8"/>
    <w:rsid w:val="00E253F9"/>
    <w:rsid w:val="00E5175C"/>
    <w:rsid w:val="00E52353"/>
    <w:rsid w:val="00E62F8E"/>
    <w:rsid w:val="00E94166"/>
    <w:rsid w:val="00EB597F"/>
    <w:rsid w:val="00EC540B"/>
    <w:rsid w:val="00EC6B01"/>
    <w:rsid w:val="00ED0B8A"/>
    <w:rsid w:val="00EF3718"/>
    <w:rsid w:val="00F10FC6"/>
    <w:rsid w:val="00F45E34"/>
    <w:rsid w:val="00F46EF9"/>
    <w:rsid w:val="00F581CB"/>
    <w:rsid w:val="00F641CC"/>
    <w:rsid w:val="00F66D60"/>
    <w:rsid w:val="00F81656"/>
    <w:rsid w:val="00F82C03"/>
    <w:rsid w:val="00F875FE"/>
    <w:rsid w:val="00F941A0"/>
    <w:rsid w:val="00F961EE"/>
    <w:rsid w:val="00FD1A09"/>
    <w:rsid w:val="00FD1FD8"/>
    <w:rsid w:val="00FE2A61"/>
    <w:rsid w:val="00FF214B"/>
    <w:rsid w:val="0120BC28"/>
    <w:rsid w:val="0179BAE2"/>
    <w:rsid w:val="01BD3BF6"/>
    <w:rsid w:val="029DF75A"/>
    <w:rsid w:val="02B6932B"/>
    <w:rsid w:val="039AC555"/>
    <w:rsid w:val="03CC5859"/>
    <w:rsid w:val="04680856"/>
    <w:rsid w:val="05EA5AC0"/>
    <w:rsid w:val="064499BA"/>
    <w:rsid w:val="06DC9193"/>
    <w:rsid w:val="06FA790A"/>
    <w:rsid w:val="0876ABEB"/>
    <w:rsid w:val="08A637DC"/>
    <w:rsid w:val="08EDF79E"/>
    <w:rsid w:val="0A07B2B8"/>
    <w:rsid w:val="0A4C0A8A"/>
    <w:rsid w:val="0A6DFF07"/>
    <w:rsid w:val="0B144D2D"/>
    <w:rsid w:val="0CB376A0"/>
    <w:rsid w:val="0CC1FD34"/>
    <w:rsid w:val="0E20CCFD"/>
    <w:rsid w:val="0ED91E94"/>
    <w:rsid w:val="0F4A2C0A"/>
    <w:rsid w:val="0FD24F7E"/>
    <w:rsid w:val="11751843"/>
    <w:rsid w:val="12363979"/>
    <w:rsid w:val="12F0A962"/>
    <w:rsid w:val="12FA991A"/>
    <w:rsid w:val="13947009"/>
    <w:rsid w:val="14207D5D"/>
    <w:rsid w:val="14269A09"/>
    <w:rsid w:val="15C6A0C9"/>
    <w:rsid w:val="170C28C5"/>
    <w:rsid w:val="1760D390"/>
    <w:rsid w:val="18C5B76C"/>
    <w:rsid w:val="1A0839FA"/>
    <w:rsid w:val="1A746188"/>
    <w:rsid w:val="1AA8488B"/>
    <w:rsid w:val="1AB1DDBC"/>
    <w:rsid w:val="1BA62CAE"/>
    <w:rsid w:val="1BFCD9D2"/>
    <w:rsid w:val="1CD7E679"/>
    <w:rsid w:val="1D1714C2"/>
    <w:rsid w:val="1DD8DFC2"/>
    <w:rsid w:val="1E43C454"/>
    <w:rsid w:val="1EE81CB2"/>
    <w:rsid w:val="1EF5F75C"/>
    <w:rsid w:val="1F7B3138"/>
    <w:rsid w:val="1FC4010D"/>
    <w:rsid w:val="20366A8E"/>
    <w:rsid w:val="2076CF81"/>
    <w:rsid w:val="20976B24"/>
    <w:rsid w:val="20A9D5E7"/>
    <w:rsid w:val="20AF7F8C"/>
    <w:rsid w:val="216515F8"/>
    <w:rsid w:val="216B36FC"/>
    <w:rsid w:val="21ADEDB5"/>
    <w:rsid w:val="2283611C"/>
    <w:rsid w:val="22FBF22F"/>
    <w:rsid w:val="236BDEC9"/>
    <w:rsid w:val="23C60C12"/>
    <w:rsid w:val="241BBC4E"/>
    <w:rsid w:val="24330071"/>
    <w:rsid w:val="24473AFB"/>
    <w:rsid w:val="250A3EFA"/>
    <w:rsid w:val="255C546B"/>
    <w:rsid w:val="25A0D6AB"/>
    <w:rsid w:val="26A5D662"/>
    <w:rsid w:val="270B64B6"/>
    <w:rsid w:val="27E5652D"/>
    <w:rsid w:val="28F8C26C"/>
    <w:rsid w:val="2A12A6EB"/>
    <w:rsid w:val="2AAB8739"/>
    <w:rsid w:val="2AADE18C"/>
    <w:rsid w:val="2B04B06C"/>
    <w:rsid w:val="2B140BBF"/>
    <w:rsid w:val="2C6792EB"/>
    <w:rsid w:val="2C8FB519"/>
    <w:rsid w:val="2CA6D415"/>
    <w:rsid w:val="2CBA6A66"/>
    <w:rsid w:val="2DEA9DBF"/>
    <w:rsid w:val="2E0010B0"/>
    <w:rsid w:val="2EB4E05A"/>
    <w:rsid w:val="2F4B5608"/>
    <w:rsid w:val="2FCC5AAD"/>
    <w:rsid w:val="2FE1E429"/>
    <w:rsid w:val="3091CE4E"/>
    <w:rsid w:val="30D6B1A4"/>
    <w:rsid w:val="32465A50"/>
    <w:rsid w:val="32BAB159"/>
    <w:rsid w:val="32FB85D5"/>
    <w:rsid w:val="335588BF"/>
    <w:rsid w:val="336BC5E9"/>
    <w:rsid w:val="344F4A90"/>
    <w:rsid w:val="3554DD0A"/>
    <w:rsid w:val="356A5FE8"/>
    <w:rsid w:val="36132695"/>
    <w:rsid w:val="367D54CA"/>
    <w:rsid w:val="367FC5AA"/>
    <w:rsid w:val="368D4F84"/>
    <w:rsid w:val="38318A67"/>
    <w:rsid w:val="38C22204"/>
    <w:rsid w:val="38FF50C9"/>
    <w:rsid w:val="3AB4CD8F"/>
    <w:rsid w:val="3B298470"/>
    <w:rsid w:val="3B3474B0"/>
    <w:rsid w:val="3DCCDE60"/>
    <w:rsid w:val="3DF09D25"/>
    <w:rsid w:val="3E9356BC"/>
    <w:rsid w:val="3F2A52BF"/>
    <w:rsid w:val="3F70D408"/>
    <w:rsid w:val="3F97D8D7"/>
    <w:rsid w:val="3FA777B8"/>
    <w:rsid w:val="3FB118F5"/>
    <w:rsid w:val="4115E606"/>
    <w:rsid w:val="417F817B"/>
    <w:rsid w:val="420E769F"/>
    <w:rsid w:val="4261A69A"/>
    <w:rsid w:val="42740EBE"/>
    <w:rsid w:val="43889D45"/>
    <w:rsid w:val="44BE12CF"/>
    <w:rsid w:val="452E24E1"/>
    <w:rsid w:val="45421F79"/>
    <w:rsid w:val="46CA48BA"/>
    <w:rsid w:val="46D2CCBA"/>
    <w:rsid w:val="470A12CE"/>
    <w:rsid w:val="47DEDDFE"/>
    <w:rsid w:val="493A8ACE"/>
    <w:rsid w:val="499B73DF"/>
    <w:rsid w:val="49B59E2C"/>
    <w:rsid w:val="4A6CBC9D"/>
    <w:rsid w:val="4A922287"/>
    <w:rsid w:val="4B47D3F4"/>
    <w:rsid w:val="4B8DAAC3"/>
    <w:rsid w:val="4BF90E70"/>
    <w:rsid w:val="4CF2F9EE"/>
    <w:rsid w:val="4D415AA0"/>
    <w:rsid w:val="4D7B121C"/>
    <w:rsid w:val="4E0119BA"/>
    <w:rsid w:val="4E6F3845"/>
    <w:rsid w:val="4F14FF15"/>
    <w:rsid w:val="4F2113FC"/>
    <w:rsid w:val="4F79508C"/>
    <w:rsid w:val="502A531A"/>
    <w:rsid w:val="510C584E"/>
    <w:rsid w:val="5161F8E9"/>
    <w:rsid w:val="522431A8"/>
    <w:rsid w:val="5238C9B6"/>
    <w:rsid w:val="5305686B"/>
    <w:rsid w:val="530D4033"/>
    <w:rsid w:val="535198C4"/>
    <w:rsid w:val="53AB52F8"/>
    <w:rsid w:val="54CD7E94"/>
    <w:rsid w:val="54FED508"/>
    <w:rsid w:val="55E6C46E"/>
    <w:rsid w:val="568CA7EF"/>
    <w:rsid w:val="5793702C"/>
    <w:rsid w:val="57CC7158"/>
    <w:rsid w:val="5897773F"/>
    <w:rsid w:val="58C54D90"/>
    <w:rsid w:val="5912C140"/>
    <w:rsid w:val="595138A1"/>
    <w:rsid w:val="59863661"/>
    <w:rsid w:val="5991BDA6"/>
    <w:rsid w:val="59BC692A"/>
    <w:rsid w:val="5A2D22EC"/>
    <w:rsid w:val="5AC981B4"/>
    <w:rsid w:val="5CCB5F43"/>
    <w:rsid w:val="5CDCE311"/>
    <w:rsid w:val="5D086810"/>
    <w:rsid w:val="5E29B3A2"/>
    <w:rsid w:val="5F3460A7"/>
    <w:rsid w:val="5FAFCE13"/>
    <w:rsid w:val="5FD7E84A"/>
    <w:rsid w:val="5FECE7B2"/>
    <w:rsid w:val="60936350"/>
    <w:rsid w:val="60B56394"/>
    <w:rsid w:val="61D8801D"/>
    <w:rsid w:val="622641B3"/>
    <w:rsid w:val="629A9CFE"/>
    <w:rsid w:val="62DBA97C"/>
    <w:rsid w:val="62E92EA6"/>
    <w:rsid w:val="62F04199"/>
    <w:rsid w:val="63516411"/>
    <w:rsid w:val="63ADAF93"/>
    <w:rsid w:val="63B8D8BE"/>
    <w:rsid w:val="63E43855"/>
    <w:rsid w:val="6478A8E7"/>
    <w:rsid w:val="64870EB6"/>
    <w:rsid w:val="64D39F38"/>
    <w:rsid w:val="6780DF01"/>
    <w:rsid w:val="67E7789D"/>
    <w:rsid w:val="67E83B78"/>
    <w:rsid w:val="68F17EED"/>
    <w:rsid w:val="693C401B"/>
    <w:rsid w:val="697D675A"/>
    <w:rsid w:val="6A189056"/>
    <w:rsid w:val="6B3A5697"/>
    <w:rsid w:val="6B8D26DE"/>
    <w:rsid w:val="6BC2D393"/>
    <w:rsid w:val="6D63D57C"/>
    <w:rsid w:val="6D68DA40"/>
    <w:rsid w:val="6DA80E70"/>
    <w:rsid w:val="6DCE6263"/>
    <w:rsid w:val="6DEB616C"/>
    <w:rsid w:val="6DF0B5F4"/>
    <w:rsid w:val="6E760358"/>
    <w:rsid w:val="6F19F188"/>
    <w:rsid w:val="706FFFBC"/>
    <w:rsid w:val="70A6C042"/>
    <w:rsid w:val="70AF3C2C"/>
    <w:rsid w:val="726982A1"/>
    <w:rsid w:val="72A1A83B"/>
    <w:rsid w:val="7355B679"/>
    <w:rsid w:val="7364F828"/>
    <w:rsid w:val="737CA16B"/>
    <w:rsid w:val="73B6455C"/>
    <w:rsid w:val="742B6BDB"/>
    <w:rsid w:val="746CFB05"/>
    <w:rsid w:val="754B1375"/>
    <w:rsid w:val="768AC1FF"/>
    <w:rsid w:val="772737F5"/>
    <w:rsid w:val="7836B67F"/>
    <w:rsid w:val="78B61FB0"/>
    <w:rsid w:val="78B7ECD7"/>
    <w:rsid w:val="794A9653"/>
    <w:rsid w:val="797E1296"/>
    <w:rsid w:val="79CF3263"/>
    <w:rsid w:val="7A4BC50F"/>
    <w:rsid w:val="7AD4F58F"/>
    <w:rsid w:val="7C665470"/>
    <w:rsid w:val="7CFDE546"/>
    <w:rsid w:val="7D6DAE16"/>
    <w:rsid w:val="7DD27A1A"/>
    <w:rsid w:val="7E290798"/>
    <w:rsid w:val="7F003CB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B82D3E"/>
  <w15:chartTrackingRefBased/>
  <w15:docId w15:val="{0F9F6C28-554B-4246-9295-3F1F929C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267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www.diabetes.org.uk/diabetes-the-basics/differences-between-type-1-and-type-2-diabetes" TargetMode="External" Id="R98c608e3b9774bdf" /><Relationship Type="http://schemas.openxmlformats.org/officeDocument/2006/relationships/hyperlink" Target="https://www.diabetes.org.uk/about-diabetes/type-2-diabetes/prevention/how-to-prevent-type-2-diabetes#5" TargetMode="External" Id="Re96994429fb44b7f" /><Relationship Type="http://schemas.openxmlformats.org/officeDocument/2006/relationships/hyperlink" Target="https://www.nhs.uk/conditions/diabetes/" TargetMode="External" Id="R1c2042e1b6744850" /><Relationship Type="http://schemas.microsoft.com/office/2020/10/relationships/intelligence" Target="intelligence2.xml" Id="R3ad1547cc4ec4d6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Rosiane Hatchodji Tchoumte Ep Tchounkeu (2439419)</dc:creator>
  <keywords/>
  <dc:description/>
  <lastModifiedBy>Rosiane Hatchodji Tchoumte Ep Tchounkeu (2439419)</lastModifiedBy>
  <revision>8</revision>
  <dcterms:created xsi:type="dcterms:W3CDTF">2026-06-04T17:55:00.0000000Z</dcterms:created>
  <dcterms:modified xsi:type="dcterms:W3CDTF">2026-06-08T12:07:13.1932799Z</dcterms:modified>
</coreProperties>
</file>