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40"/>
      </w:tblGrid>
      <w:tr w:rsidR="00416A09" w:rsidRPr="00C606A7" w14:paraId="3883F4DB" w14:textId="77777777" w:rsidTr="00416A09">
        <w:trPr>
          <w:trHeight w:val="1000"/>
        </w:trPr>
        <w:tc>
          <w:tcPr>
            <w:tcW w:w="9540" w:type="dxa"/>
            <w:tcBorders>
              <w:top w:val="single" w:sz="4" w:space="0" w:color="auto"/>
              <w:left w:val="single" w:sz="4" w:space="0" w:color="auto"/>
              <w:bottom w:val="single" w:sz="4" w:space="0" w:color="auto"/>
              <w:right w:val="single" w:sz="4" w:space="0" w:color="auto"/>
            </w:tcBorders>
            <w:shd w:val="clear" w:color="auto" w:fill="1B2A4A"/>
            <w:tcMar>
              <w:top w:w="120" w:type="dxa"/>
              <w:left w:w="280" w:type="dxa"/>
              <w:bottom w:w="120" w:type="dxa"/>
              <w:right w:w="280" w:type="dxa"/>
            </w:tcMar>
            <w:vAlign w:val="center"/>
            <w:hideMark/>
          </w:tcPr>
          <w:p w14:paraId="17EC0FCF" w14:textId="17CBB0A9" w:rsidR="00416A09" w:rsidRPr="00C606A7" w:rsidRDefault="00563838" w:rsidP="002C2222">
            <w:pPr>
              <w:spacing w:after="0" w:line="360" w:lineRule="auto"/>
              <w:jc w:val="center"/>
              <w:rPr>
                <w:rFonts w:ascii="Arial" w:hAnsi="Arial" w:cs="Arial"/>
                <w:b/>
                <w:bCs/>
              </w:rPr>
            </w:pPr>
            <w:r>
              <w:rPr>
                <w:noProof/>
              </w:rPr>
              <w:drawing>
                <wp:inline distT="0" distB="0" distL="0" distR="0" wp14:anchorId="15A977D3" wp14:editId="1E9D68D7">
                  <wp:extent cx="2849245" cy="808355"/>
                  <wp:effectExtent l="0" t="0" r="8255" b="0"/>
                  <wp:docPr id="1871102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9245" cy="808355"/>
                          </a:xfrm>
                          <a:prstGeom prst="rect">
                            <a:avLst/>
                          </a:prstGeom>
                          <a:noFill/>
                          <a:ln>
                            <a:noFill/>
                          </a:ln>
                        </pic:spPr>
                      </pic:pic>
                    </a:graphicData>
                  </a:graphic>
                </wp:inline>
              </w:drawing>
            </w:r>
          </w:p>
          <w:p w14:paraId="562730B2" w14:textId="77777777" w:rsidR="00416A09" w:rsidRPr="00C606A7" w:rsidRDefault="00416A09" w:rsidP="002C2222">
            <w:pPr>
              <w:spacing w:after="0" w:line="360" w:lineRule="auto"/>
              <w:jc w:val="center"/>
              <w:rPr>
                <w:rFonts w:ascii="Arial" w:hAnsi="Arial" w:cs="Arial"/>
                <w:b/>
                <w:bCs/>
              </w:rPr>
            </w:pPr>
            <w:proofErr w:type="spellStart"/>
            <w:r w:rsidRPr="00C606A7">
              <w:rPr>
                <w:rFonts w:ascii="Arial" w:hAnsi="Arial" w:cs="Arial"/>
                <w:b/>
                <w:bCs/>
                <w:i/>
                <w:iCs/>
              </w:rPr>
              <w:t>Prifysgol</w:t>
            </w:r>
            <w:proofErr w:type="spellEnd"/>
            <w:r w:rsidRPr="00C606A7">
              <w:rPr>
                <w:rFonts w:ascii="Arial" w:hAnsi="Arial" w:cs="Arial"/>
                <w:b/>
                <w:bCs/>
                <w:i/>
                <w:iCs/>
              </w:rPr>
              <w:t xml:space="preserve"> Cymru Y </w:t>
            </w:r>
            <w:proofErr w:type="spellStart"/>
            <w:r w:rsidRPr="00C606A7">
              <w:rPr>
                <w:rFonts w:ascii="Arial" w:hAnsi="Arial" w:cs="Arial"/>
                <w:b/>
                <w:bCs/>
                <w:i/>
                <w:iCs/>
              </w:rPr>
              <w:t>Drindod</w:t>
            </w:r>
            <w:proofErr w:type="spellEnd"/>
            <w:r w:rsidRPr="00C606A7">
              <w:rPr>
                <w:rFonts w:ascii="Arial" w:hAnsi="Arial" w:cs="Arial"/>
                <w:b/>
                <w:bCs/>
                <w:i/>
                <w:iCs/>
              </w:rPr>
              <w:t xml:space="preserve"> Dewi Sant</w:t>
            </w:r>
          </w:p>
        </w:tc>
      </w:tr>
      <w:tr w:rsidR="00416A09" w:rsidRPr="00C606A7" w14:paraId="17A03B91" w14:textId="77777777" w:rsidTr="00416A09">
        <w:trPr>
          <w:trHeight w:val="80"/>
        </w:trPr>
        <w:tc>
          <w:tcPr>
            <w:tcW w:w="9540" w:type="dxa"/>
            <w:tcBorders>
              <w:top w:val="single" w:sz="4" w:space="0" w:color="auto"/>
              <w:left w:val="single" w:sz="4" w:space="0" w:color="auto"/>
              <w:bottom w:val="single" w:sz="4" w:space="0" w:color="auto"/>
              <w:right w:val="single" w:sz="4" w:space="0" w:color="auto"/>
            </w:tcBorders>
            <w:shd w:val="clear" w:color="auto" w:fill="C9A84C"/>
          </w:tcPr>
          <w:p w14:paraId="39554762" w14:textId="77777777" w:rsidR="00416A09" w:rsidRPr="00C606A7" w:rsidRDefault="00416A09" w:rsidP="002C2222">
            <w:pPr>
              <w:spacing w:after="0" w:line="360" w:lineRule="auto"/>
              <w:jc w:val="center"/>
              <w:rPr>
                <w:rFonts w:ascii="Arial" w:hAnsi="Arial" w:cs="Arial"/>
                <w:b/>
                <w:bCs/>
              </w:rPr>
            </w:pPr>
          </w:p>
        </w:tc>
      </w:tr>
    </w:tbl>
    <w:p w14:paraId="7919EFA8" w14:textId="77777777" w:rsidR="00416A09" w:rsidRPr="00C606A7" w:rsidRDefault="00416A09" w:rsidP="002C2222">
      <w:pPr>
        <w:spacing w:after="0" w:line="360" w:lineRule="auto"/>
        <w:jc w:val="center"/>
        <w:rPr>
          <w:rFonts w:ascii="Arial" w:hAnsi="Arial" w:cs="Arial"/>
          <w:b/>
          <w:bCs/>
        </w:rPr>
      </w:pPr>
    </w:p>
    <w:p w14:paraId="2C722691" w14:textId="0EE1033E" w:rsidR="00416A09" w:rsidRPr="00C606A7" w:rsidRDefault="00416A09" w:rsidP="002C2222">
      <w:pPr>
        <w:spacing w:after="0" w:line="360" w:lineRule="auto"/>
        <w:jc w:val="center"/>
        <w:rPr>
          <w:rFonts w:ascii="Arial" w:hAnsi="Arial" w:cs="Arial"/>
          <w:b/>
          <w:bCs/>
        </w:rPr>
      </w:pPr>
      <w:r w:rsidRPr="00C606A7">
        <w:rPr>
          <w:rFonts w:ascii="Arial" w:hAnsi="Arial" w:cs="Arial"/>
          <w:b/>
          <w:bCs/>
        </w:rPr>
        <w:t>MASTER OF BUSINESS ADMINISTRATION</w:t>
      </w:r>
    </w:p>
    <w:p w14:paraId="323E4764" w14:textId="2C3EA8B1" w:rsidR="00416A09" w:rsidRPr="00C606A7" w:rsidRDefault="00416A09" w:rsidP="002C2222">
      <w:pPr>
        <w:spacing w:after="0" w:line="360" w:lineRule="auto"/>
        <w:jc w:val="center"/>
        <w:rPr>
          <w:rFonts w:ascii="Arial" w:hAnsi="Arial" w:cs="Arial"/>
          <w:b/>
          <w:bCs/>
        </w:rPr>
      </w:pPr>
      <w:r w:rsidRPr="00C606A7">
        <w:rPr>
          <w:rFonts w:ascii="Arial" w:hAnsi="Arial" w:cs="Arial"/>
          <w:b/>
          <w:bCs/>
        </w:rPr>
        <w:t>Human Capital Management|LCMB7023</w:t>
      </w:r>
    </w:p>
    <w:p w14:paraId="473EDEC7" w14:textId="77777777" w:rsidR="00416A09" w:rsidRPr="00C606A7" w:rsidRDefault="00416A09" w:rsidP="002C2222">
      <w:pPr>
        <w:spacing w:after="0" w:line="360" w:lineRule="auto"/>
        <w:jc w:val="center"/>
        <w:rPr>
          <w:rFonts w:ascii="Arial" w:hAnsi="Arial" w:cs="Arial"/>
          <w:b/>
          <w:bCs/>
        </w:rPr>
      </w:pPr>
    </w:p>
    <w:p w14:paraId="51F54D09"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Designing a Human Capital</w:t>
      </w:r>
    </w:p>
    <w:p w14:paraId="4A993CD1"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Architecture for Strategic Renewal</w:t>
      </w:r>
    </w:p>
    <w:p w14:paraId="73BF0300" w14:textId="77777777" w:rsidR="00416A09" w:rsidRPr="00C606A7" w:rsidRDefault="00416A09" w:rsidP="002C2222">
      <w:pPr>
        <w:spacing w:after="0" w:line="360" w:lineRule="auto"/>
        <w:jc w:val="center"/>
        <w:rPr>
          <w:rFonts w:ascii="Arial" w:hAnsi="Arial" w:cs="Arial"/>
          <w:b/>
          <w:bCs/>
        </w:rPr>
      </w:pPr>
    </w:p>
    <w:p w14:paraId="002ED55E" w14:textId="69462CD3" w:rsidR="00416A09" w:rsidRPr="00C606A7" w:rsidRDefault="00416A09" w:rsidP="002C2222">
      <w:pPr>
        <w:spacing w:after="0" w:line="360" w:lineRule="auto"/>
        <w:jc w:val="center"/>
        <w:rPr>
          <w:rFonts w:ascii="Arial" w:hAnsi="Arial" w:cs="Arial"/>
          <w:b/>
          <w:bCs/>
        </w:rPr>
      </w:pPr>
      <w:r w:rsidRPr="00C606A7">
        <w:rPr>
          <w:rFonts w:ascii="Arial" w:hAnsi="Arial" w:cs="Arial"/>
          <w:b/>
          <w:bCs/>
          <w:i/>
          <w:iCs/>
        </w:rPr>
        <w:t>Assessment Component 1: Individual Report</w:t>
      </w:r>
    </w:p>
    <w:p w14:paraId="60068C44" w14:textId="4432898C" w:rsidR="00416A09" w:rsidRPr="00C606A7" w:rsidRDefault="00416A09" w:rsidP="002C2222">
      <w:pPr>
        <w:spacing w:after="0" w:line="360" w:lineRule="auto"/>
        <w:jc w:val="center"/>
        <w:rPr>
          <w:rFonts w:ascii="Arial" w:hAnsi="Arial" w:cs="Arial"/>
          <w:b/>
          <w:bCs/>
        </w:rPr>
      </w:pPr>
      <w:r w:rsidRPr="00C606A7">
        <w:rPr>
          <w:rFonts w:ascii="Arial" w:hAnsi="Arial" w:cs="Arial"/>
          <w:b/>
          <w:bCs/>
        </w:rPr>
        <w:t>Case Scenario: Helios Urban Mobility (HUM)</w:t>
      </w:r>
    </w:p>
    <w:p w14:paraId="20C9FB0A" w14:textId="77777777" w:rsidR="00416A09" w:rsidRPr="00C606A7" w:rsidRDefault="00416A09" w:rsidP="002C2222">
      <w:pPr>
        <w:spacing w:after="0" w:line="360" w:lineRule="auto"/>
        <w:jc w:val="center"/>
        <w:rPr>
          <w:rFonts w:ascii="Arial" w:hAnsi="Arial" w:cs="Arial"/>
          <w:b/>
          <w:bCs/>
        </w:rPr>
      </w:pPr>
    </w:p>
    <w:tbl>
      <w:tblPr>
        <w:tblW w:w="9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0"/>
        <w:gridCol w:w="5940"/>
      </w:tblGrid>
      <w:tr w:rsidR="00416A09" w:rsidRPr="00C606A7" w14:paraId="274C6F0C" w14:textId="77777777" w:rsidTr="00416A09">
        <w:trPr>
          <w:trHeight w:val="460"/>
        </w:trPr>
        <w:tc>
          <w:tcPr>
            <w:tcW w:w="3600" w:type="dxa"/>
            <w:shd w:val="clear" w:color="auto" w:fill="F4F4F4"/>
            <w:tcMar>
              <w:top w:w="80" w:type="dxa"/>
              <w:left w:w="160" w:type="dxa"/>
              <w:bottom w:w="80" w:type="dxa"/>
              <w:right w:w="160" w:type="dxa"/>
            </w:tcMar>
            <w:vAlign w:val="center"/>
            <w:hideMark/>
          </w:tcPr>
          <w:p w14:paraId="763FF2E7"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Student Name</w:t>
            </w:r>
          </w:p>
        </w:tc>
        <w:tc>
          <w:tcPr>
            <w:tcW w:w="5940" w:type="dxa"/>
            <w:tcMar>
              <w:top w:w="80" w:type="dxa"/>
              <w:left w:w="160" w:type="dxa"/>
              <w:bottom w:w="80" w:type="dxa"/>
              <w:right w:w="160" w:type="dxa"/>
            </w:tcMar>
            <w:vAlign w:val="center"/>
            <w:hideMark/>
          </w:tcPr>
          <w:p w14:paraId="0E567ED5" w14:textId="7E244623" w:rsidR="00416A09" w:rsidRPr="00C606A7" w:rsidRDefault="00791DDA" w:rsidP="002C2222">
            <w:pPr>
              <w:spacing w:after="0" w:line="360" w:lineRule="auto"/>
              <w:jc w:val="center"/>
              <w:rPr>
                <w:rFonts w:ascii="Arial" w:hAnsi="Arial" w:cs="Arial"/>
              </w:rPr>
            </w:pPr>
            <w:r w:rsidRPr="00791DDA">
              <w:rPr>
                <w:rFonts w:ascii="Arial" w:hAnsi="Arial" w:cs="Arial"/>
              </w:rPr>
              <w:t>SUFI SAFINAZ AZIZMAHMED</w:t>
            </w:r>
          </w:p>
        </w:tc>
      </w:tr>
      <w:tr w:rsidR="00416A09" w:rsidRPr="00C606A7" w14:paraId="6E81E774" w14:textId="77777777" w:rsidTr="00416A09">
        <w:trPr>
          <w:trHeight w:val="460"/>
        </w:trPr>
        <w:tc>
          <w:tcPr>
            <w:tcW w:w="3600" w:type="dxa"/>
            <w:shd w:val="clear" w:color="auto" w:fill="F4F4F4"/>
            <w:tcMar>
              <w:top w:w="80" w:type="dxa"/>
              <w:left w:w="160" w:type="dxa"/>
              <w:bottom w:w="80" w:type="dxa"/>
              <w:right w:w="160" w:type="dxa"/>
            </w:tcMar>
            <w:vAlign w:val="center"/>
            <w:hideMark/>
          </w:tcPr>
          <w:p w14:paraId="3A4CE5A5"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Student ID</w:t>
            </w:r>
          </w:p>
        </w:tc>
        <w:tc>
          <w:tcPr>
            <w:tcW w:w="5940" w:type="dxa"/>
            <w:tcMar>
              <w:top w:w="80" w:type="dxa"/>
              <w:left w:w="160" w:type="dxa"/>
              <w:bottom w:w="80" w:type="dxa"/>
              <w:right w:w="160" w:type="dxa"/>
            </w:tcMar>
            <w:vAlign w:val="center"/>
            <w:hideMark/>
          </w:tcPr>
          <w:p w14:paraId="3312ACF4" w14:textId="4A6EAAB5" w:rsidR="00416A09" w:rsidRPr="00C606A7" w:rsidRDefault="00791DDA" w:rsidP="002C2222">
            <w:pPr>
              <w:spacing w:after="0" w:line="360" w:lineRule="auto"/>
              <w:jc w:val="center"/>
              <w:rPr>
                <w:rFonts w:ascii="Arial" w:hAnsi="Arial" w:cs="Arial"/>
              </w:rPr>
            </w:pPr>
            <w:r w:rsidRPr="00791DDA">
              <w:rPr>
                <w:rFonts w:ascii="Arial" w:hAnsi="Arial" w:cs="Arial"/>
              </w:rPr>
              <w:t>2539210</w:t>
            </w:r>
          </w:p>
        </w:tc>
      </w:tr>
      <w:tr w:rsidR="00416A09" w:rsidRPr="00C606A7" w14:paraId="610AC682" w14:textId="77777777" w:rsidTr="00416A09">
        <w:trPr>
          <w:trHeight w:val="460"/>
        </w:trPr>
        <w:tc>
          <w:tcPr>
            <w:tcW w:w="3600" w:type="dxa"/>
            <w:shd w:val="clear" w:color="auto" w:fill="F4F4F4"/>
            <w:tcMar>
              <w:top w:w="80" w:type="dxa"/>
              <w:left w:w="160" w:type="dxa"/>
              <w:bottom w:w="80" w:type="dxa"/>
              <w:right w:w="160" w:type="dxa"/>
            </w:tcMar>
            <w:vAlign w:val="center"/>
            <w:hideMark/>
          </w:tcPr>
          <w:p w14:paraId="08992CAE"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Programme</w:t>
            </w:r>
          </w:p>
        </w:tc>
        <w:tc>
          <w:tcPr>
            <w:tcW w:w="5940" w:type="dxa"/>
            <w:tcMar>
              <w:top w:w="80" w:type="dxa"/>
              <w:left w:w="160" w:type="dxa"/>
              <w:bottom w:w="80" w:type="dxa"/>
              <w:right w:w="160" w:type="dxa"/>
            </w:tcMar>
            <w:vAlign w:val="center"/>
            <w:hideMark/>
          </w:tcPr>
          <w:p w14:paraId="7753B319" w14:textId="77777777" w:rsidR="00416A09" w:rsidRPr="00C606A7" w:rsidRDefault="00416A09" w:rsidP="002C2222">
            <w:pPr>
              <w:spacing w:after="0" w:line="360" w:lineRule="auto"/>
              <w:jc w:val="center"/>
              <w:rPr>
                <w:rFonts w:ascii="Arial" w:hAnsi="Arial" w:cs="Arial"/>
              </w:rPr>
            </w:pPr>
            <w:r w:rsidRPr="00C606A7">
              <w:rPr>
                <w:rFonts w:ascii="Arial" w:hAnsi="Arial" w:cs="Arial"/>
              </w:rPr>
              <w:t>Master of Business Administration</w:t>
            </w:r>
          </w:p>
        </w:tc>
      </w:tr>
      <w:tr w:rsidR="00416A09" w:rsidRPr="00C606A7" w14:paraId="66E8E790" w14:textId="77777777" w:rsidTr="00416A09">
        <w:trPr>
          <w:trHeight w:val="460"/>
        </w:trPr>
        <w:tc>
          <w:tcPr>
            <w:tcW w:w="3600" w:type="dxa"/>
            <w:shd w:val="clear" w:color="auto" w:fill="F4F4F4"/>
            <w:tcMar>
              <w:top w:w="80" w:type="dxa"/>
              <w:left w:w="160" w:type="dxa"/>
              <w:bottom w:w="80" w:type="dxa"/>
              <w:right w:w="160" w:type="dxa"/>
            </w:tcMar>
            <w:vAlign w:val="center"/>
            <w:hideMark/>
          </w:tcPr>
          <w:p w14:paraId="756E4FF3"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Module</w:t>
            </w:r>
          </w:p>
        </w:tc>
        <w:tc>
          <w:tcPr>
            <w:tcW w:w="5940" w:type="dxa"/>
            <w:tcMar>
              <w:top w:w="80" w:type="dxa"/>
              <w:left w:w="160" w:type="dxa"/>
              <w:bottom w:w="80" w:type="dxa"/>
              <w:right w:w="160" w:type="dxa"/>
            </w:tcMar>
            <w:vAlign w:val="center"/>
            <w:hideMark/>
          </w:tcPr>
          <w:p w14:paraId="23FE1E9B" w14:textId="77777777" w:rsidR="00416A09" w:rsidRPr="00C606A7" w:rsidRDefault="00416A09" w:rsidP="002C2222">
            <w:pPr>
              <w:spacing w:after="0" w:line="360" w:lineRule="auto"/>
              <w:jc w:val="center"/>
              <w:rPr>
                <w:rFonts w:ascii="Arial" w:hAnsi="Arial" w:cs="Arial"/>
              </w:rPr>
            </w:pPr>
            <w:r w:rsidRPr="00C606A7">
              <w:rPr>
                <w:rFonts w:ascii="Arial" w:hAnsi="Arial" w:cs="Arial"/>
              </w:rPr>
              <w:t>Human Capital Management</w:t>
            </w:r>
          </w:p>
        </w:tc>
      </w:tr>
      <w:tr w:rsidR="00416A09" w:rsidRPr="00C606A7" w14:paraId="1F8C1C0F" w14:textId="77777777" w:rsidTr="00416A09">
        <w:trPr>
          <w:trHeight w:val="460"/>
        </w:trPr>
        <w:tc>
          <w:tcPr>
            <w:tcW w:w="3600" w:type="dxa"/>
            <w:shd w:val="clear" w:color="auto" w:fill="F4F4F4"/>
            <w:tcMar>
              <w:top w:w="80" w:type="dxa"/>
              <w:left w:w="160" w:type="dxa"/>
              <w:bottom w:w="80" w:type="dxa"/>
              <w:right w:w="160" w:type="dxa"/>
            </w:tcMar>
            <w:vAlign w:val="center"/>
            <w:hideMark/>
          </w:tcPr>
          <w:p w14:paraId="1008758D"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Module Code</w:t>
            </w:r>
          </w:p>
        </w:tc>
        <w:tc>
          <w:tcPr>
            <w:tcW w:w="5940" w:type="dxa"/>
            <w:tcMar>
              <w:top w:w="80" w:type="dxa"/>
              <w:left w:w="160" w:type="dxa"/>
              <w:bottom w:w="80" w:type="dxa"/>
              <w:right w:w="160" w:type="dxa"/>
            </w:tcMar>
            <w:vAlign w:val="center"/>
            <w:hideMark/>
          </w:tcPr>
          <w:p w14:paraId="2F926DD4" w14:textId="77777777" w:rsidR="00416A09" w:rsidRPr="00C606A7" w:rsidRDefault="00416A09" w:rsidP="002C2222">
            <w:pPr>
              <w:spacing w:after="0" w:line="360" w:lineRule="auto"/>
              <w:jc w:val="center"/>
              <w:rPr>
                <w:rFonts w:ascii="Arial" w:hAnsi="Arial" w:cs="Arial"/>
              </w:rPr>
            </w:pPr>
            <w:r w:rsidRPr="00C606A7">
              <w:rPr>
                <w:rFonts w:ascii="Arial" w:hAnsi="Arial" w:cs="Arial"/>
              </w:rPr>
              <w:t>LCMB7023</w:t>
            </w:r>
          </w:p>
        </w:tc>
      </w:tr>
      <w:tr w:rsidR="00416A09" w:rsidRPr="00C606A7" w14:paraId="05762FA8" w14:textId="77777777" w:rsidTr="00416A09">
        <w:trPr>
          <w:trHeight w:val="460"/>
        </w:trPr>
        <w:tc>
          <w:tcPr>
            <w:tcW w:w="3600" w:type="dxa"/>
            <w:shd w:val="clear" w:color="auto" w:fill="F4F4F4"/>
            <w:tcMar>
              <w:top w:w="80" w:type="dxa"/>
              <w:left w:w="160" w:type="dxa"/>
              <w:bottom w:w="80" w:type="dxa"/>
              <w:right w:w="160" w:type="dxa"/>
            </w:tcMar>
            <w:vAlign w:val="center"/>
            <w:hideMark/>
          </w:tcPr>
          <w:p w14:paraId="5D1D2E35"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Lecturer</w:t>
            </w:r>
          </w:p>
        </w:tc>
        <w:tc>
          <w:tcPr>
            <w:tcW w:w="5940" w:type="dxa"/>
            <w:tcMar>
              <w:top w:w="80" w:type="dxa"/>
              <w:left w:w="160" w:type="dxa"/>
              <w:bottom w:w="80" w:type="dxa"/>
              <w:right w:w="160" w:type="dxa"/>
            </w:tcMar>
            <w:vAlign w:val="center"/>
            <w:hideMark/>
          </w:tcPr>
          <w:p w14:paraId="4382A163" w14:textId="386CBD77" w:rsidR="00416A09" w:rsidRPr="00C606A7" w:rsidRDefault="00791DDA" w:rsidP="002C2222">
            <w:pPr>
              <w:spacing w:after="0" w:line="360" w:lineRule="auto"/>
              <w:jc w:val="center"/>
              <w:rPr>
                <w:rFonts w:ascii="Arial" w:hAnsi="Arial" w:cs="Arial"/>
              </w:rPr>
            </w:pPr>
            <w:r w:rsidRPr="00791DDA">
              <w:rPr>
                <w:rFonts w:ascii="Arial" w:hAnsi="Arial" w:cs="Arial"/>
              </w:rPr>
              <w:t xml:space="preserve">Sharukh </w:t>
            </w:r>
            <w:r>
              <w:rPr>
                <w:rFonts w:ascii="Arial" w:hAnsi="Arial" w:cs="Arial"/>
              </w:rPr>
              <w:t>I</w:t>
            </w:r>
            <w:r w:rsidRPr="00791DDA">
              <w:rPr>
                <w:rFonts w:ascii="Arial" w:hAnsi="Arial" w:cs="Arial"/>
              </w:rPr>
              <w:t>rfan</w:t>
            </w:r>
          </w:p>
        </w:tc>
      </w:tr>
      <w:tr w:rsidR="00416A09" w:rsidRPr="00C606A7" w14:paraId="579AF354" w14:textId="77777777" w:rsidTr="00416A09">
        <w:trPr>
          <w:trHeight w:val="460"/>
        </w:trPr>
        <w:tc>
          <w:tcPr>
            <w:tcW w:w="3600" w:type="dxa"/>
            <w:shd w:val="clear" w:color="auto" w:fill="F4F4F4"/>
            <w:tcMar>
              <w:top w:w="80" w:type="dxa"/>
              <w:left w:w="160" w:type="dxa"/>
              <w:bottom w:w="80" w:type="dxa"/>
              <w:right w:w="160" w:type="dxa"/>
            </w:tcMar>
            <w:vAlign w:val="center"/>
            <w:hideMark/>
          </w:tcPr>
          <w:p w14:paraId="220EE798"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Word Count</w:t>
            </w:r>
          </w:p>
        </w:tc>
        <w:tc>
          <w:tcPr>
            <w:tcW w:w="5940" w:type="dxa"/>
            <w:tcMar>
              <w:top w:w="80" w:type="dxa"/>
              <w:left w:w="160" w:type="dxa"/>
              <w:bottom w:w="80" w:type="dxa"/>
              <w:right w:w="160" w:type="dxa"/>
            </w:tcMar>
            <w:vAlign w:val="center"/>
            <w:hideMark/>
          </w:tcPr>
          <w:p w14:paraId="30D78876" w14:textId="332018A2" w:rsidR="00416A09" w:rsidRPr="00C606A7" w:rsidRDefault="00416A09" w:rsidP="002C2222">
            <w:pPr>
              <w:spacing w:after="0" w:line="360" w:lineRule="auto"/>
              <w:jc w:val="center"/>
              <w:rPr>
                <w:rFonts w:ascii="Arial" w:hAnsi="Arial" w:cs="Arial"/>
              </w:rPr>
            </w:pPr>
            <w:r w:rsidRPr="00C606A7">
              <w:rPr>
                <w:rFonts w:ascii="Arial" w:hAnsi="Arial" w:cs="Arial"/>
              </w:rPr>
              <w:t>2,</w:t>
            </w:r>
            <w:r w:rsidR="00D432AA" w:rsidRPr="00C606A7">
              <w:rPr>
                <w:rFonts w:ascii="Arial" w:hAnsi="Arial" w:cs="Arial"/>
              </w:rPr>
              <w:t>6</w:t>
            </w:r>
            <w:r w:rsidR="00CB40F9">
              <w:rPr>
                <w:rFonts w:ascii="Arial" w:hAnsi="Arial" w:cs="Arial"/>
              </w:rPr>
              <w:t>68</w:t>
            </w:r>
            <w:r w:rsidRPr="00C606A7">
              <w:rPr>
                <w:rFonts w:ascii="Arial" w:hAnsi="Arial" w:cs="Arial"/>
              </w:rPr>
              <w:t xml:space="preserve"> words</w:t>
            </w:r>
          </w:p>
        </w:tc>
      </w:tr>
      <w:tr w:rsidR="00416A09" w:rsidRPr="00C606A7" w14:paraId="6CDF4E3B" w14:textId="77777777" w:rsidTr="00416A09">
        <w:trPr>
          <w:trHeight w:val="460"/>
        </w:trPr>
        <w:tc>
          <w:tcPr>
            <w:tcW w:w="3600" w:type="dxa"/>
            <w:shd w:val="clear" w:color="auto" w:fill="F4F4F4"/>
            <w:tcMar>
              <w:top w:w="80" w:type="dxa"/>
              <w:left w:w="160" w:type="dxa"/>
              <w:bottom w:w="80" w:type="dxa"/>
              <w:right w:w="160" w:type="dxa"/>
            </w:tcMar>
            <w:vAlign w:val="center"/>
            <w:hideMark/>
          </w:tcPr>
          <w:p w14:paraId="6E75BCE6" w14:textId="77777777" w:rsidR="00416A09" w:rsidRPr="00C606A7" w:rsidRDefault="00416A09" w:rsidP="002C2222">
            <w:pPr>
              <w:spacing w:after="0" w:line="360" w:lineRule="auto"/>
              <w:jc w:val="center"/>
              <w:rPr>
                <w:rFonts w:ascii="Arial" w:hAnsi="Arial" w:cs="Arial"/>
                <w:b/>
                <w:bCs/>
              </w:rPr>
            </w:pPr>
            <w:r w:rsidRPr="00C606A7">
              <w:rPr>
                <w:rFonts w:ascii="Arial" w:hAnsi="Arial" w:cs="Arial"/>
                <w:b/>
                <w:bCs/>
              </w:rPr>
              <w:t>Submission Date</w:t>
            </w:r>
          </w:p>
        </w:tc>
        <w:tc>
          <w:tcPr>
            <w:tcW w:w="5940" w:type="dxa"/>
            <w:tcMar>
              <w:top w:w="80" w:type="dxa"/>
              <w:left w:w="160" w:type="dxa"/>
              <w:bottom w:w="80" w:type="dxa"/>
              <w:right w:w="160" w:type="dxa"/>
            </w:tcMar>
            <w:vAlign w:val="center"/>
            <w:hideMark/>
          </w:tcPr>
          <w:p w14:paraId="35DCA629" w14:textId="77777777" w:rsidR="00416A09" w:rsidRPr="00C606A7" w:rsidRDefault="00416A09" w:rsidP="002C2222">
            <w:pPr>
              <w:spacing w:after="0" w:line="360" w:lineRule="auto"/>
              <w:jc w:val="center"/>
              <w:rPr>
                <w:rFonts w:ascii="Arial" w:hAnsi="Arial" w:cs="Arial"/>
              </w:rPr>
            </w:pPr>
            <w:r w:rsidRPr="00C606A7">
              <w:rPr>
                <w:rFonts w:ascii="Arial" w:hAnsi="Arial" w:cs="Arial"/>
              </w:rPr>
              <w:t>Friday 17th July 2026</w:t>
            </w:r>
          </w:p>
        </w:tc>
      </w:tr>
    </w:tbl>
    <w:p w14:paraId="36CDE996" w14:textId="77777777" w:rsidR="00416A09" w:rsidRPr="00C606A7" w:rsidRDefault="00416A09" w:rsidP="00C606A7">
      <w:pPr>
        <w:spacing w:after="0" w:line="360" w:lineRule="auto"/>
        <w:jc w:val="both"/>
        <w:rPr>
          <w:rFonts w:ascii="Arial" w:hAnsi="Arial" w:cs="Arial"/>
          <w:b/>
          <w:bCs/>
        </w:rPr>
      </w:pPr>
    </w:p>
    <w:p w14:paraId="4DE3EB8F" w14:textId="09FB60F5" w:rsidR="00E9499D" w:rsidRPr="00C606A7" w:rsidRDefault="00416A09" w:rsidP="00C606A7">
      <w:pPr>
        <w:spacing w:after="0" w:line="360" w:lineRule="auto"/>
        <w:jc w:val="both"/>
        <w:rPr>
          <w:rFonts w:ascii="Arial" w:hAnsi="Arial" w:cs="Arial"/>
          <w:b/>
          <w:bCs/>
        </w:rPr>
      </w:pPr>
      <w:r w:rsidRPr="00C606A7">
        <w:rPr>
          <w:rFonts w:ascii="Arial" w:hAnsi="Arial" w:cs="Arial"/>
        </w:rPr>
        <w:br w:type="page"/>
      </w:r>
    </w:p>
    <w:sdt>
      <w:sdtPr>
        <w:rPr>
          <w:rFonts w:ascii="Arial" w:eastAsiaTheme="minorHAnsi" w:hAnsi="Arial" w:cs="Arial"/>
          <w:color w:val="auto"/>
          <w:kern w:val="2"/>
          <w:sz w:val="24"/>
          <w:szCs w:val="24"/>
          <w:lang w:val="en-GB"/>
          <w14:ligatures w14:val="standardContextual"/>
        </w:rPr>
        <w:id w:val="-1974512117"/>
        <w:docPartObj>
          <w:docPartGallery w:val="Table of Contents"/>
          <w:docPartUnique/>
        </w:docPartObj>
      </w:sdtPr>
      <w:sdtEndPr>
        <w:rPr>
          <w:b/>
          <w:bCs/>
          <w:noProof/>
        </w:rPr>
      </w:sdtEndPr>
      <w:sdtContent>
        <w:p w14:paraId="3BD0B6C0" w14:textId="114FF37E" w:rsidR="00E9499D" w:rsidRPr="00C606A7" w:rsidRDefault="00E9499D" w:rsidP="00C606A7">
          <w:pPr>
            <w:pStyle w:val="TOCHeading"/>
            <w:spacing w:line="360" w:lineRule="auto"/>
            <w:jc w:val="both"/>
            <w:rPr>
              <w:rFonts w:ascii="Arial" w:hAnsi="Arial" w:cs="Arial"/>
              <w:sz w:val="24"/>
              <w:szCs w:val="24"/>
            </w:rPr>
          </w:pPr>
          <w:r w:rsidRPr="00C606A7">
            <w:rPr>
              <w:rFonts w:ascii="Arial" w:hAnsi="Arial" w:cs="Arial"/>
              <w:sz w:val="24"/>
              <w:szCs w:val="24"/>
            </w:rPr>
            <w:t>Table of Contents</w:t>
          </w:r>
        </w:p>
        <w:p w14:paraId="73B10162" w14:textId="4DCFBF2D" w:rsidR="00791DDA" w:rsidRDefault="00E9499D">
          <w:pPr>
            <w:pStyle w:val="TOC1"/>
            <w:tabs>
              <w:tab w:val="right" w:leader="dot" w:pos="9016"/>
            </w:tabs>
            <w:rPr>
              <w:rFonts w:eastAsiaTheme="minorEastAsia"/>
              <w:noProof/>
              <w:lang w:eastAsia="en-GB"/>
            </w:rPr>
          </w:pPr>
          <w:r w:rsidRPr="00C606A7">
            <w:rPr>
              <w:rFonts w:ascii="Arial" w:hAnsi="Arial" w:cs="Arial"/>
            </w:rPr>
            <w:fldChar w:fldCharType="begin"/>
          </w:r>
          <w:r w:rsidRPr="00C606A7">
            <w:rPr>
              <w:rFonts w:ascii="Arial" w:hAnsi="Arial" w:cs="Arial"/>
            </w:rPr>
            <w:instrText xml:space="preserve"> TOC \o "1-3" \h \z \u </w:instrText>
          </w:r>
          <w:r w:rsidRPr="00C606A7">
            <w:rPr>
              <w:rFonts w:ascii="Arial" w:hAnsi="Arial" w:cs="Arial"/>
            </w:rPr>
            <w:fldChar w:fldCharType="separate"/>
          </w:r>
          <w:hyperlink w:anchor="_Toc235186431" w:history="1">
            <w:r w:rsidR="00791DDA" w:rsidRPr="0093446D">
              <w:rPr>
                <w:rStyle w:val="Hyperlink"/>
                <w:noProof/>
              </w:rPr>
              <w:t>1. INTRODUCTION</w:t>
            </w:r>
            <w:r w:rsidR="00791DDA">
              <w:rPr>
                <w:noProof/>
                <w:webHidden/>
              </w:rPr>
              <w:tab/>
            </w:r>
            <w:r w:rsidR="00791DDA">
              <w:rPr>
                <w:noProof/>
                <w:webHidden/>
              </w:rPr>
              <w:fldChar w:fldCharType="begin"/>
            </w:r>
            <w:r w:rsidR="00791DDA">
              <w:rPr>
                <w:noProof/>
                <w:webHidden/>
              </w:rPr>
              <w:instrText xml:space="preserve"> PAGEREF _Toc235186431 \h </w:instrText>
            </w:r>
            <w:r w:rsidR="00791DDA">
              <w:rPr>
                <w:noProof/>
                <w:webHidden/>
              </w:rPr>
            </w:r>
            <w:r w:rsidR="00791DDA">
              <w:rPr>
                <w:noProof/>
                <w:webHidden/>
              </w:rPr>
              <w:fldChar w:fldCharType="separate"/>
            </w:r>
            <w:r w:rsidR="00791DDA">
              <w:rPr>
                <w:noProof/>
                <w:webHidden/>
              </w:rPr>
              <w:t>3</w:t>
            </w:r>
            <w:r w:rsidR="00791DDA">
              <w:rPr>
                <w:noProof/>
                <w:webHidden/>
              </w:rPr>
              <w:fldChar w:fldCharType="end"/>
            </w:r>
          </w:hyperlink>
        </w:p>
        <w:p w14:paraId="688F078F" w14:textId="557FF3FA" w:rsidR="00791DDA" w:rsidRDefault="00791DDA">
          <w:pPr>
            <w:pStyle w:val="TOC1"/>
            <w:tabs>
              <w:tab w:val="right" w:leader="dot" w:pos="9016"/>
            </w:tabs>
            <w:rPr>
              <w:rFonts w:eastAsiaTheme="minorEastAsia"/>
              <w:noProof/>
              <w:lang w:eastAsia="en-GB"/>
            </w:rPr>
          </w:pPr>
          <w:hyperlink w:anchor="_Toc235186432" w:history="1">
            <w:r w:rsidRPr="0093446D">
              <w:rPr>
                <w:rStyle w:val="Hyperlink"/>
                <w:noProof/>
              </w:rPr>
              <w:t>2. Task A: Socialisation, Identity and Business Activism</w:t>
            </w:r>
            <w:r>
              <w:rPr>
                <w:noProof/>
                <w:webHidden/>
              </w:rPr>
              <w:tab/>
            </w:r>
            <w:r>
              <w:rPr>
                <w:noProof/>
                <w:webHidden/>
              </w:rPr>
              <w:fldChar w:fldCharType="begin"/>
            </w:r>
            <w:r>
              <w:rPr>
                <w:noProof/>
                <w:webHidden/>
              </w:rPr>
              <w:instrText xml:space="preserve"> PAGEREF _Toc235186432 \h </w:instrText>
            </w:r>
            <w:r>
              <w:rPr>
                <w:noProof/>
                <w:webHidden/>
              </w:rPr>
            </w:r>
            <w:r>
              <w:rPr>
                <w:noProof/>
                <w:webHidden/>
              </w:rPr>
              <w:fldChar w:fldCharType="separate"/>
            </w:r>
            <w:r>
              <w:rPr>
                <w:noProof/>
                <w:webHidden/>
              </w:rPr>
              <w:t>3</w:t>
            </w:r>
            <w:r>
              <w:rPr>
                <w:noProof/>
                <w:webHidden/>
              </w:rPr>
              <w:fldChar w:fldCharType="end"/>
            </w:r>
          </w:hyperlink>
        </w:p>
        <w:p w14:paraId="5221D5A2" w14:textId="58EDA2C8" w:rsidR="00791DDA" w:rsidRDefault="00791DDA">
          <w:pPr>
            <w:pStyle w:val="TOC2"/>
            <w:tabs>
              <w:tab w:val="right" w:leader="dot" w:pos="9016"/>
            </w:tabs>
            <w:rPr>
              <w:rFonts w:eastAsiaTheme="minorEastAsia"/>
              <w:noProof/>
              <w:lang w:eastAsia="en-GB"/>
            </w:rPr>
          </w:pPr>
          <w:hyperlink w:anchor="_Toc235186433" w:history="1">
            <w:r w:rsidRPr="0093446D">
              <w:rPr>
                <w:rStyle w:val="Hyperlink"/>
                <w:noProof/>
              </w:rPr>
              <w:t>2.1 Critical Evaluation: Traditional Onboarding Versus Strategic Organisational Socialisation</w:t>
            </w:r>
            <w:r>
              <w:rPr>
                <w:noProof/>
                <w:webHidden/>
              </w:rPr>
              <w:tab/>
            </w:r>
            <w:r>
              <w:rPr>
                <w:noProof/>
                <w:webHidden/>
              </w:rPr>
              <w:fldChar w:fldCharType="begin"/>
            </w:r>
            <w:r>
              <w:rPr>
                <w:noProof/>
                <w:webHidden/>
              </w:rPr>
              <w:instrText xml:space="preserve"> PAGEREF _Toc235186433 \h </w:instrText>
            </w:r>
            <w:r>
              <w:rPr>
                <w:noProof/>
                <w:webHidden/>
              </w:rPr>
            </w:r>
            <w:r>
              <w:rPr>
                <w:noProof/>
                <w:webHidden/>
              </w:rPr>
              <w:fldChar w:fldCharType="separate"/>
            </w:r>
            <w:r>
              <w:rPr>
                <w:noProof/>
                <w:webHidden/>
              </w:rPr>
              <w:t>3</w:t>
            </w:r>
            <w:r>
              <w:rPr>
                <w:noProof/>
                <w:webHidden/>
              </w:rPr>
              <w:fldChar w:fldCharType="end"/>
            </w:r>
          </w:hyperlink>
        </w:p>
        <w:p w14:paraId="770D9C23" w14:textId="776FA5A4" w:rsidR="00791DDA" w:rsidRDefault="00791DDA">
          <w:pPr>
            <w:pStyle w:val="TOC2"/>
            <w:tabs>
              <w:tab w:val="right" w:leader="dot" w:pos="9016"/>
            </w:tabs>
            <w:rPr>
              <w:rFonts w:eastAsiaTheme="minorEastAsia"/>
              <w:noProof/>
              <w:lang w:eastAsia="en-GB"/>
            </w:rPr>
          </w:pPr>
          <w:hyperlink w:anchor="_Toc235186434" w:history="1">
            <w:r w:rsidRPr="0093446D">
              <w:rPr>
                <w:rStyle w:val="Hyperlink"/>
                <w:noProof/>
              </w:rPr>
              <w:t>2.2 Structured Socialisation Framework for Helios</w:t>
            </w:r>
            <w:r>
              <w:rPr>
                <w:noProof/>
                <w:webHidden/>
              </w:rPr>
              <w:tab/>
            </w:r>
            <w:r>
              <w:rPr>
                <w:noProof/>
                <w:webHidden/>
              </w:rPr>
              <w:fldChar w:fldCharType="begin"/>
            </w:r>
            <w:r>
              <w:rPr>
                <w:noProof/>
                <w:webHidden/>
              </w:rPr>
              <w:instrText xml:space="preserve"> PAGEREF _Toc235186434 \h </w:instrText>
            </w:r>
            <w:r>
              <w:rPr>
                <w:noProof/>
                <w:webHidden/>
              </w:rPr>
            </w:r>
            <w:r>
              <w:rPr>
                <w:noProof/>
                <w:webHidden/>
              </w:rPr>
              <w:fldChar w:fldCharType="separate"/>
            </w:r>
            <w:r>
              <w:rPr>
                <w:noProof/>
                <w:webHidden/>
              </w:rPr>
              <w:t>4</w:t>
            </w:r>
            <w:r>
              <w:rPr>
                <w:noProof/>
                <w:webHidden/>
              </w:rPr>
              <w:fldChar w:fldCharType="end"/>
            </w:r>
          </w:hyperlink>
        </w:p>
        <w:p w14:paraId="602BE752" w14:textId="5795FB93" w:rsidR="00791DDA" w:rsidRDefault="00791DDA">
          <w:pPr>
            <w:pStyle w:val="TOC2"/>
            <w:tabs>
              <w:tab w:val="right" w:leader="dot" w:pos="9016"/>
            </w:tabs>
            <w:rPr>
              <w:rFonts w:eastAsiaTheme="minorEastAsia"/>
              <w:noProof/>
              <w:lang w:eastAsia="en-GB"/>
            </w:rPr>
          </w:pPr>
          <w:hyperlink w:anchor="_Toc235186435" w:history="1">
            <w:r w:rsidRPr="0093446D">
              <w:rPr>
                <w:rStyle w:val="Hyperlink"/>
                <w:noProof/>
              </w:rPr>
              <w:t>2.3 Cultivating Organisational Identification, Ethical Professionalism, and the Business Activist Mindset</w:t>
            </w:r>
            <w:r>
              <w:rPr>
                <w:noProof/>
                <w:webHidden/>
              </w:rPr>
              <w:tab/>
            </w:r>
            <w:r>
              <w:rPr>
                <w:noProof/>
                <w:webHidden/>
              </w:rPr>
              <w:fldChar w:fldCharType="begin"/>
            </w:r>
            <w:r>
              <w:rPr>
                <w:noProof/>
                <w:webHidden/>
              </w:rPr>
              <w:instrText xml:space="preserve"> PAGEREF _Toc235186435 \h </w:instrText>
            </w:r>
            <w:r>
              <w:rPr>
                <w:noProof/>
                <w:webHidden/>
              </w:rPr>
            </w:r>
            <w:r>
              <w:rPr>
                <w:noProof/>
                <w:webHidden/>
              </w:rPr>
              <w:fldChar w:fldCharType="separate"/>
            </w:r>
            <w:r>
              <w:rPr>
                <w:noProof/>
                <w:webHidden/>
              </w:rPr>
              <w:t>6</w:t>
            </w:r>
            <w:r>
              <w:rPr>
                <w:noProof/>
                <w:webHidden/>
              </w:rPr>
              <w:fldChar w:fldCharType="end"/>
            </w:r>
          </w:hyperlink>
        </w:p>
        <w:p w14:paraId="0F561154" w14:textId="6B3869AA" w:rsidR="00791DDA" w:rsidRDefault="00791DDA">
          <w:pPr>
            <w:pStyle w:val="TOC1"/>
            <w:tabs>
              <w:tab w:val="right" w:leader="dot" w:pos="9016"/>
            </w:tabs>
            <w:rPr>
              <w:rFonts w:eastAsiaTheme="minorEastAsia"/>
              <w:noProof/>
              <w:lang w:eastAsia="en-GB"/>
            </w:rPr>
          </w:pPr>
          <w:hyperlink w:anchor="_Toc235186436" w:history="1">
            <w:r w:rsidRPr="0093446D">
              <w:rPr>
                <w:rStyle w:val="Hyperlink"/>
                <w:noProof/>
              </w:rPr>
              <w:t>3. Task B: Job Design</w:t>
            </w:r>
            <w:r>
              <w:rPr>
                <w:noProof/>
                <w:webHidden/>
              </w:rPr>
              <w:tab/>
            </w:r>
            <w:r>
              <w:rPr>
                <w:noProof/>
                <w:webHidden/>
              </w:rPr>
              <w:fldChar w:fldCharType="begin"/>
            </w:r>
            <w:r>
              <w:rPr>
                <w:noProof/>
                <w:webHidden/>
              </w:rPr>
              <w:instrText xml:space="preserve"> PAGEREF _Toc235186436 \h </w:instrText>
            </w:r>
            <w:r>
              <w:rPr>
                <w:noProof/>
                <w:webHidden/>
              </w:rPr>
            </w:r>
            <w:r>
              <w:rPr>
                <w:noProof/>
                <w:webHidden/>
              </w:rPr>
              <w:fldChar w:fldCharType="separate"/>
            </w:r>
            <w:r>
              <w:rPr>
                <w:noProof/>
                <w:webHidden/>
              </w:rPr>
              <w:t>7</w:t>
            </w:r>
            <w:r>
              <w:rPr>
                <w:noProof/>
                <w:webHidden/>
              </w:rPr>
              <w:fldChar w:fldCharType="end"/>
            </w:r>
          </w:hyperlink>
        </w:p>
        <w:p w14:paraId="73E38380" w14:textId="55F4A2F3" w:rsidR="00791DDA" w:rsidRDefault="00791DDA">
          <w:pPr>
            <w:pStyle w:val="TOC2"/>
            <w:tabs>
              <w:tab w:val="right" w:leader="dot" w:pos="9016"/>
            </w:tabs>
            <w:rPr>
              <w:rFonts w:eastAsiaTheme="minorEastAsia"/>
              <w:noProof/>
              <w:lang w:eastAsia="en-GB"/>
            </w:rPr>
          </w:pPr>
          <w:hyperlink w:anchor="_Toc235186437" w:history="1">
            <w:r w:rsidRPr="0093446D">
              <w:rPr>
                <w:rStyle w:val="Hyperlink"/>
                <w:noProof/>
              </w:rPr>
              <w:t>3.1 Innovative Job Design Strategy</w:t>
            </w:r>
            <w:r>
              <w:rPr>
                <w:noProof/>
                <w:webHidden/>
              </w:rPr>
              <w:tab/>
            </w:r>
            <w:r>
              <w:rPr>
                <w:noProof/>
                <w:webHidden/>
              </w:rPr>
              <w:fldChar w:fldCharType="begin"/>
            </w:r>
            <w:r>
              <w:rPr>
                <w:noProof/>
                <w:webHidden/>
              </w:rPr>
              <w:instrText xml:space="preserve"> PAGEREF _Toc235186437 \h </w:instrText>
            </w:r>
            <w:r>
              <w:rPr>
                <w:noProof/>
                <w:webHidden/>
              </w:rPr>
            </w:r>
            <w:r>
              <w:rPr>
                <w:noProof/>
                <w:webHidden/>
              </w:rPr>
              <w:fldChar w:fldCharType="separate"/>
            </w:r>
            <w:r>
              <w:rPr>
                <w:noProof/>
                <w:webHidden/>
              </w:rPr>
              <w:t>7</w:t>
            </w:r>
            <w:r>
              <w:rPr>
                <w:noProof/>
                <w:webHidden/>
              </w:rPr>
              <w:fldChar w:fldCharType="end"/>
            </w:r>
          </w:hyperlink>
        </w:p>
        <w:p w14:paraId="7A38CA58" w14:textId="43742E4B" w:rsidR="00791DDA" w:rsidRDefault="00791DDA">
          <w:pPr>
            <w:pStyle w:val="TOC2"/>
            <w:tabs>
              <w:tab w:val="right" w:leader="dot" w:pos="9016"/>
            </w:tabs>
            <w:rPr>
              <w:rFonts w:eastAsiaTheme="minorEastAsia"/>
              <w:noProof/>
              <w:lang w:eastAsia="en-GB"/>
            </w:rPr>
          </w:pPr>
          <w:hyperlink w:anchor="_Toc235186438" w:history="1">
            <w:r w:rsidRPr="0093446D">
              <w:rPr>
                <w:rStyle w:val="Hyperlink"/>
                <w:noProof/>
              </w:rPr>
              <w:t>3.2 Stimulating Intrinsic Motivation and Supporting Innovation</w:t>
            </w:r>
            <w:r>
              <w:rPr>
                <w:noProof/>
                <w:webHidden/>
              </w:rPr>
              <w:tab/>
            </w:r>
            <w:r>
              <w:rPr>
                <w:noProof/>
                <w:webHidden/>
              </w:rPr>
              <w:fldChar w:fldCharType="begin"/>
            </w:r>
            <w:r>
              <w:rPr>
                <w:noProof/>
                <w:webHidden/>
              </w:rPr>
              <w:instrText xml:space="preserve"> PAGEREF _Toc235186438 \h </w:instrText>
            </w:r>
            <w:r>
              <w:rPr>
                <w:noProof/>
                <w:webHidden/>
              </w:rPr>
            </w:r>
            <w:r>
              <w:rPr>
                <w:noProof/>
                <w:webHidden/>
              </w:rPr>
              <w:fldChar w:fldCharType="separate"/>
            </w:r>
            <w:r>
              <w:rPr>
                <w:noProof/>
                <w:webHidden/>
              </w:rPr>
              <w:t>8</w:t>
            </w:r>
            <w:r>
              <w:rPr>
                <w:noProof/>
                <w:webHidden/>
              </w:rPr>
              <w:fldChar w:fldCharType="end"/>
            </w:r>
          </w:hyperlink>
        </w:p>
        <w:p w14:paraId="6FB7941E" w14:textId="150F4F2B" w:rsidR="00791DDA" w:rsidRDefault="00791DDA">
          <w:pPr>
            <w:pStyle w:val="TOC1"/>
            <w:tabs>
              <w:tab w:val="right" w:leader="dot" w:pos="9016"/>
            </w:tabs>
            <w:rPr>
              <w:rFonts w:eastAsiaTheme="minorEastAsia"/>
              <w:noProof/>
              <w:lang w:eastAsia="en-GB"/>
            </w:rPr>
          </w:pPr>
          <w:hyperlink w:anchor="_Toc235186439" w:history="1">
            <w:r w:rsidRPr="0093446D">
              <w:rPr>
                <w:rStyle w:val="Hyperlink"/>
                <w:noProof/>
              </w:rPr>
              <w:t>4. Task C: Reflective Report</w:t>
            </w:r>
            <w:r>
              <w:rPr>
                <w:noProof/>
                <w:webHidden/>
              </w:rPr>
              <w:tab/>
            </w:r>
            <w:r>
              <w:rPr>
                <w:noProof/>
                <w:webHidden/>
              </w:rPr>
              <w:fldChar w:fldCharType="begin"/>
            </w:r>
            <w:r>
              <w:rPr>
                <w:noProof/>
                <w:webHidden/>
              </w:rPr>
              <w:instrText xml:space="preserve"> PAGEREF _Toc235186439 \h </w:instrText>
            </w:r>
            <w:r>
              <w:rPr>
                <w:noProof/>
                <w:webHidden/>
              </w:rPr>
            </w:r>
            <w:r>
              <w:rPr>
                <w:noProof/>
                <w:webHidden/>
              </w:rPr>
              <w:fldChar w:fldCharType="separate"/>
            </w:r>
            <w:r>
              <w:rPr>
                <w:noProof/>
                <w:webHidden/>
              </w:rPr>
              <w:t>9</w:t>
            </w:r>
            <w:r>
              <w:rPr>
                <w:noProof/>
                <w:webHidden/>
              </w:rPr>
              <w:fldChar w:fldCharType="end"/>
            </w:r>
          </w:hyperlink>
        </w:p>
        <w:p w14:paraId="70BA305E" w14:textId="0E7698CB" w:rsidR="00791DDA" w:rsidRDefault="00791DDA">
          <w:pPr>
            <w:pStyle w:val="TOC2"/>
            <w:tabs>
              <w:tab w:val="right" w:leader="dot" w:pos="9016"/>
            </w:tabs>
            <w:rPr>
              <w:rFonts w:eastAsiaTheme="minorEastAsia"/>
              <w:noProof/>
              <w:lang w:eastAsia="en-GB"/>
            </w:rPr>
          </w:pPr>
          <w:hyperlink w:anchor="_Toc235186440" w:history="1">
            <w:r w:rsidRPr="0093446D">
              <w:rPr>
                <w:rStyle w:val="Hyperlink"/>
                <w:noProof/>
              </w:rPr>
              <w:t>4.1 Using AI as a Decision-Support Tool Without Eroding Critical Human Judgement</w:t>
            </w:r>
            <w:r>
              <w:rPr>
                <w:noProof/>
                <w:webHidden/>
              </w:rPr>
              <w:tab/>
            </w:r>
            <w:r>
              <w:rPr>
                <w:noProof/>
                <w:webHidden/>
              </w:rPr>
              <w:fldChar w:fldCharType="begin"/>
            </w:r>
            <w:r>
              <w:rPr>
                <w:noProof/>
                <w:webHidden/>
              </w:rPr>
              <w:instrText xml:space="preserve"> PAGEREF _Toc235186440 \h </w:instrText>
            </w:r>
            <w:r>
              <w:rPr>
                <w:noProof/>
                <w:webHidden/>
              </w:rPr>
            </w:r>
            <w:r>
              <w:rPr>
                <w:noProof/>
                <w:webHidden/>
              </w:rPr>
              <w:fldChar w:fldCharType="separate"/>
            </w:r>
            <w:r>
              <w:rPr>
                <w:noProof/>
                <w:webHidden/>
              </w:rPr>
              <w:t>9</w:t>
            </w:r>
            <w:r>
              <w:rPr>
                <w:noProof/>
                <w:webHidden/>
              </w:rPr>
              <w:fldChar w:fldCharType="end"/>
            </w:r>
          </w:hyperlink>
        </w:p>
        <w:p w14:paraId="31DE6E86" w14:textId="337522F2" w:rsidR="00791DDA" w:rsidRDefault="00791DDA">
          <w:pPr>
            <w:pStyle w:val="TOC2"/>
            <w:tabs>
              <w:tab w:val="right" w:leader="dot" w:pos="9016"/>
            </w:tabs>
            <w:rPr>
              <w:rFonts w:eastAsiaTheme="minorEastAsia"/>
              <w:noProof/>
              <w:lang w:eastAsia="en-GB"/>
            </w:rPr>
          </w:pPr>
          <w:hyperlink w:anchor="_Toc235186441" w:history="1">
            <w:r w:rsidRPr="0093446D">
              <w:rPr>
                <w:rStyle w:val="Hyperlink"/>
                <w:noProof/>
              </w:rPr>
              <w:t>4.2 Personal Capability Development Plan</w:t>
            </w:r>
            <w:r>
              <w:rPr>
                <w:noProof/>
                <w:webHidden/>
              </w:rPr>
              <w:tab/>
            </w:r>
            <w:r>
              <w:rPr>
                <w:noProof/>
                <w:webHidden/>
              </w:rPr>
              <w:fldChar w:fldCharType="begin"/>
            </w:r>
            <w:r>
              <w:rPr>
                <w:noProof/>
                <w:webHidden/>
              </w:rPr>
              <w:instrText xml:space="preserve"> PAGEREF _Toc235186441 \h </w:instrText>
            </w:r>
            <w:r>
              <w:rPr>
                <w:noProof/>
                <w:webHidden/>
              </w:rPr>
            </w:r>
            <w:r>
              <w:rPr>
                <w:noProof/>
                <w:webHidden/>
              </w:rPr>
              <w:fldChar w:fldCharType="separate"/>
            </w:r>
            <w:r>
              <w:rPr>
                <w:noProof/>
                <w:webHidden/>
              </w:rPr>
              <w:t>10</w:t>
            </w:r>
            <w:r>
              <w:rPr>
                <w:noProof/>
                <w:webHidden/>
              </w:rPr>
              <w:fldChar w:fldCharType="end"/>
            </w:r>
          </w:hyperlink>
        </w:p>
        <w:p w14:paraId="3D42E591" w14:textId="0577F7C1" w:rsidR="00791DDA" w:rsidRDefault="00791DDA">
          <w:pPr>
            <w:pStyle w:val="TOC1"/>
            <w:tabs>
              <w:tab w:val="right" w:leader="dot" w:pos="9016"/>
            </w:tabs>
            <w:rPr>
              <w:rFonts w:eastAsiaTheme="minorEastAsia"/>
              <w:noProof/>
              <w:lang w:eastAsia="en-GB"/>
            </w:rPr>
          </w:pPr>
          <w:hyperlink w:anchor="_Toc235186442" w:history="1">
            <w:r w:rsidRPr="0093446D">
              <w:rPr>
                <w:rStyle w:val="Hyperlink"/>
                <w:noProof/>
              </w:rPr>
              <w:t>5. Conclusion</w:t>
            </w:r>
            <w:r>
              <w:rPr>
                <w:noProof/>
                <w:webHidden/>
              </w:rPr>
              <w:tab/>
            </w:r>
            <w:r>
              <w:rPr>
                <w:noProof/>
                <w:webHidden/>
              </w:rPr>
              <w:fldChar w:fldCharType="begin"/>
            </w:r>
            <w:r>
              <w:rPr>
                <w:noProof/>
                <w:webHidden/>
              </w:rPr>
              <w:instrText xml:space="preserve"> PAGEREF _Toc235186442 \h </w:instrText>
            </w:r>
            <w:r>
              <w:rPr>
                <w:noProof/>
                <w:webHidden/>
              </w:rPr>
            </w:r>
            <w:r>
              <w:rPr>
                <w:noProof/>
                <w:webHidden/>
              </w:rPr>
              <w:fldChar w:fldCharType="separate"/>
            </w:r>
            <w:r>
              <w:rPr>
                <w:noProof/>
                <w:webHidden/>
              </w:rPr>
              <w:t>11</w:t>
            </w:r>
            <w:r>
              <w:rPr>
                <w:noProof/>
                <w:webHidden/>
              </w:rPr>
              <w:fldChar w:fldCharType="end"/>
            </w:r>
          </w:hyperlink>
        </w:p>
        <w:p w14:paraId="4A6DD22D" w14:textId="4D25DBFE" w:rsidR="00791DDA" w:rsidRDefault="00791DDA">
          <w:pPr>
            <w:pStyle w:val="TOC1"/>
            <w:tabs>
              <w:tab w:val="right" w:leader="dot" w:pos="9016"/>
            </w:tabs>
            <w:rPr>
              <w:rFonts w:eastAsiaTheme="minorEastAsia"/>
              <w:noProof/>
              <w:lang w:eastAsia="en-GB"/>
            </w:rPr>
          </w:pPr>
          <w:hyperlink w:anchor="_Toc235186443" w:history="1">
            <w:r w:rsidRPr="0093446D">
              <w:rPr>
                <w:rStyle w:val="Hyperlink"/>
                <w:noProof/>
              </w:rPr>
              <w:t>REFERENCE LIST</w:t>
            </w:r>
            <w:r>
              <w:rPr>
                <w:noProof/>
                <w:webHidden/>
              </w:rPr>
              <w:tab/>
            </w:r>
            <w:r>
              <w:rPr>
                <w:noProof/>
                <w:webHidden/>
              </w:rPr>
              <w:fldChar w:fldCharType="begin"/>
            </w:r>
            <w:r>
              <w:rPr>
                <w:noProof/>
                <w:webHidden/>
              </w:rPr>
              <w:instrText xml:space="preserve"> PAGEREF _Toc235186443 \h </w:instrText>
            </w:r>
            <w:r>
              <w:rPr>
                <w:noProof/>
                <w:webHidden/>
              </w:rPr>
            </w:r>
            <w:r>
              <w:rPr>
                <w:noProof/>
                <w:webHidden/>
              </w:rPr>
              <w:fldChar w:fldCharType="separate"/>
            </w:r>
            <w:r>
              <w:rPr>
                <w:noProof/>
                <w:webHidden/>
              </w:rPr>
              <w:t>13</w:t>
            </w:r>
            <w:r>
              <w:rPr>
                <w:noProof/>
                <w:webHidden/>
              </w:rPr>
              <w:fldChar w:fldCharType="end"/>
            </w:r>
          </w:hyperlink>
        </w:p>
        <w:p w14:paraId="50FFA982" w14:textId="7224F4C4" w:rsidR="00E9499D" w:rsidRPr="00C606A7" w:rsidRDefault="00E9499D" w:rsidP="00C606A7">
          <w:pPr>
            <w:spacing w:after="0" w:line="360" w:lineRule="auto"/>
            <w:jc w:val="both"/>
            <w:rPr>
              <w:rFonts w:ascii="Arial" w:hAnsi="Arial" w:cs="Arial"/>
            </w:rPr>
          </w:pPr>
          <w:r w:rsidRPr="00C606A7">
            <w:rPr>
              <w:rFonts w:ascii="Arial" w:hAnsi="Arial" w:cs="Arial"/>
              <w:b/>
              <w:bCs/>
              <w:noProof/>
            </w:rPr>
            <w:fldChar w:fldCharType="end"/>
          </w:r>
        </w:p>
      </w:sdtContent>
    </w:sdt>
    <w:p w14:paraId="0FB9503B" w14:textId="77777777" w:rsidR="00E9499D" w:rsidRPr="00C606A7" w:rsidRDefault="00E9499D" w:rsidP="00C606A7">
      <w:pPr>
        <w:spacing w:after="0" w:line="360" w:lineRule="auto"/>
        <w:jc w:val="both"/>
        <w:rPr>
          <w:rFonts w:ascii="Arial" w:eastAsiaTheme="majorEastAsia" w:hAnsi="Arial" w:cs="Arial"/>
          <w:b/>
          <w:bCs/>
          <w:color w:val="0F4761" w:themeColor="accent1" w:themeShade="BF"/>
        </w:rPr>
      </w:pPr>
      <w:r w:rsidRPr="00C606A7">
        <w:rPr>
          <w:rFonts w:ascii="Arial" w:hAnsi="Arial" w:cs="Arial"/>
        </w:rPr>
        <w:br w:type="page"/>
      </w:r>
    </w:p>
    <w:p w14:paraId="7651547D" w14:textId="5B7AC3E0" w:rsidR="007835B8" w:rsidRPr="00C606A7" w:rsidRDefault="00E9499D" w:rsidP="00C606A7">
      <w:pPr>
        <w:pStyle w:val="Heading1"/>
        <w:spacing w:after="0" w:line="360" w:lineRule="auto"/>
        <w:jc w:val="both"/>
      </w:pPr>
      <w:bookmarkStart w:id="0" w:name="_Toc235186431"/>
      <w:r w:rsidRPr="00C606A7">
        <w:lastRenderedPageBreak/>
        <w:t xml:space="preserve">1. </w:t>
      </w:r>
      <w:r w:rsidR="007835B8" w:rsidRPr="00C606A7">
        <w:t>INTRODUCTION</w:t>
      </w:r>
      <w:bookmarkEnd w:id="0"/>
    </w:p>
    <w:p w14:paraId="35D0D71C" w14:textId="15EEACCD" w:rsidR="007835B8" w:rsidRPr="00C606A7" w:rsidRDefault="001D10D3" w:rsidP="00C606A7">
      <w:pPr>
        <w:spacing w:after="0" w:line="360" w:lineRule="auto"/>
        <w:jc w:val="both"/>
        <w:rPr>
          <w:rFonts w:ascii="Arial" w:hAnsi="Arial" w:cs="Arial"/>
        </w:rPr>
      </w:pPr>
      <w:r w:rsidRPr="00C606A7">
        <w:rPr>
          <w:rFonts w:ascii="Arial" w:hAnsi="Arial" w:cs="Arial"/>
        </w:rPr>
        <w:t xml:space="preserve">The human capital issue facing the European smart-transport start-up, </w:t>
      </w:r>
      <w:r w:rsidR="00A21FA3" w:rsidRPr="00C606A7">
        <w:rPr>
          <w:rFonts w:ascii="Arial" w:hAnsi="Arial" w:cs="Arial"/>
        </w:rPr>
        <w:t>Helios</w:t>
      </w:r>
      <w:r w:rsidRPr="00C606A7">
        <w:rPr>
          <w:rFonts w:ascii="Arial" w:hAnsi="Arial" w:cs="Arial"/>
        </w:rPr>
        <w:t xml:space="preserve"> Urban Mobility (HUM)</w:t>
      </w:r>
      <w:r w:rsidR="00A21FA3" w:rsidRPr="00C606A7">
        <w:rPr>
          <w:rFonts w:ascii="Arial" w:hAnsi="Arial" w:cs="Arial"/>
        </w:rPr>
        <w:t>,</w:t>
      </w:r>
      <w:r w:rsidRPr="00C606A7">
        <w:rPr>
          <w:rFonts w:ascii="Arial" w:hAnsi="Arial" w:cs="Arial"/>
        </w:rPr>
        <w:t xml:space="preserve"> with 450 employees in London, Berlin and Singapore</w:t>
      </w:r>
      <w:r w:rsidR="00A21FA3" w:rsidRPr="00C606A7">
        <w:rPr>
          <w:rFonts w:ascii="Arial" w:hAnsi="Arial" w:cs="Arial"/>
        </w:rPr>
        <w:t>,</w:t>
      </w:r>
      <w:r w:rsidRPr="00C606A7">
        <w:rPr>
          <w:rFonts w:ascii="Arial" w:hAnsi="Arial" w:cs="Arial"/>
        </w:rPr>
        <w:t xml:space="preserve"> is </w:t>
      </w:r>
      <w:r w:rsidR="00A21FA3" w:rsidRPr="00C606A7">
        <w:rPr>
          <w:rFonts w:ascii="Arial" w:hAnsi="Arial" w:cs="Arial"/>
        </w:rPr>
        <w:t>threefold</w:t>
      </w:r>
      <w:r w:rsidRPr="00C606A7">
        <w:rPr>
          <w:rFonts w:ascii="Arial" w:hAnsi="Arial" w:cs="Arial"/>
        </w:rPr>
        <w:t xml:space="preserve">: </w:t>
      </w:r>
      <w:r w:rsidR="00A21FA3" w:rsidRPr="00C606A7">
        <w:rPr>
          <w:rFonts w:ascii="Arial" w:hAnsi="Arial" w:cs="Arial"/>
        </w:rPr>
        <w:t>an</w:t>
      </w:r>
      <w:r w:rsidRPr="00C606A7">
        <w:rPr>
          <w:rFonts w:ascii="Arial" w:hAnsi="Arial" w:cs="Arial"/>
        </w:rPr>
        <w:t xml:space="preserve"> 8-month onboarding ramp-up, a falling employee engagement index of 54%</w:t>
      </w:r>
      <w:r w:rsidR="00A21FA3" w:rsidRPr="00C606A7">
        <w:rPr>
          <w:rFonts w:ascii="Arial" w:hAnsi="Arial" w:cs="Arial"/>
        </w:rPr>
        <w:t>,</w:t>
      </w:r>
      <w:r w:rsidRPr="00C606A7">
        <w:rPr>
          <w:rFonts w:ascii="Arial" w:hAnsi="Arial" w:cs="Arial"/>
        </w:rPr>
        <w:t xml:space="preserve"> and a rising turnover of high-potential graduates. Unattended, these obstacles may compromise the strategic innovation agenda of HUM at a critical growth point. Commissioned as an External Strategic Human Capital Advisor, this report designs a targeted Human Capital Architecture (HCA) to address each challenge. Task A is a strategic socialisation framework, Task B is an innovative job design approach, and Task C is a personal reflective experience of AI decision-support use and professional development planning.</w:t>
      </w:r>
    </w:p>
    <w:p w14:paraId="31F3EB77" w14:textId="4DC6AEC5" w:rsidR="007835B8" w:rsidRPr="00C606A7" w:rsidRDefault="007835B8" w:rsidP="00C606A7">
      <w:pPr>
        <w:spacing w:after="0" w:line="360" w:lineRule="auto"/>
        <w:jc w:val="both"/>
        <w:rPr>
          <w:rFonts w:ascii="Arial" w:hAnsi="Arial" w:cs="Arial"/>
        </w:rPr>
      </w:pPr>
    </w:p>
    <w:p w14:paraId="758D4E6A" w14:textId="77777777" w:rsidR="007835B8" w:rsidRPr="00C606A7" w:rsidRDefault="007835B8" w:rsidP="00C606A7">
      <w:pPr>
        <w:pStyle w:val="Heading1"/>
        <w:spacing w:after="0" w:line="360" w:lineRule="auto"/>
        <w:jc w:val="both"/>
      </w:pPr>
      <w:bookmarkStart w:id="1" w:name="_Toc235186432"/>
      <w:r w:rsidRPr="00C606A7">
        <w:t>2. Task A: Socialisation, Identity and Business Activism</w:t>
      </w:r>
      <w:bookmarkEnd w:id="1"/>
    </w:p>
    <w:p w14:paraId="49063929" w14:textId="77777777" w:rsidR="007835B8" w:rsidRPr="00C606A7" w:rsidRDefault="007835B8" w:rsidP="00C606A7">
      <w:pPr>
        <w:pStyle w:val="Heading2"/>
        <w:spacing w:after="0" w:line="360" w:lineRule="auto"/>
        <w:jc w:val="both"/>
      </w:pPr>
      <w:bookmarkStart w:id="2" w:name="_Toc235186433"/>
      <w:r w:rsidRPr="00C606A7">
        <w:t>2.1 Critical Evaluation: Traditional Onboarding Versus Strategic Organisational Socialisation</w:t>
      </w:r>
      <w:bookmarkEnd w:id="2"/>
    </w:p>
    <w:p w14:paraId="0ECBAF17" w14:textId="3439C578" w:rsidR="007835B8" w:rsidRPr="00C606A7" w:rsidRDefault="001D10D3" w:rsidP="00C606A7">
      <w:pPr>
        <w:spacing w:after="0" w:line="360" w:lineRule="auto"/>
        <w:jc w:val="both"/>
        <w:rPr>
          <w:rFonts w:ascii="Arial" w:hAnsi="Arial" w:cs="Arial"/>
        </w:rPr>
      </w:pPr>
      <w:r w:rsidRPr="00C606A7">
        <w:rPr>
          <w:rFonts w:ascii="Arial" w:hAnsi="Arial" w:cs="Arial"/>
        </w:rPr>
        <w:t xml:space="preserve">Onboarding has historically been </w:t>
      </w:r>
      <w:r w:rsidR="00DB1874">
        <w:rPr>
          <w:rFonts w:ascii="Arial" w:hAnsi="Arial" w:cs="Arial"/>
        </w:rPr>
        <w:t>conflated with administrative orientation in organisations, which entails subjecting new employees to compliance training, system access, and policy orientation</w:t>
      </w:r>
      <w:r w:rsidRPr="00C606A7">
        <w:rPr>
          <w:rFonts w:ascii="Arial" w:hAnsi="Arial" w:cs="Arial"/>
        </w:rPr>
        <w:t xml:space="preserve"> during the initial days of work. This transactional style is operationally necessary, but does not deal with the deeper psychological and social processes by which individuals are transformed into real committed organisational members. This difference is strategically consequential in the case of Helios Urban Mobility</w:t>
      </w:r>
      <w:r w:rsidR="004D01D8" w:rsidRPr="00C606A7">
        <w:rPr>
          <w:rFonts w:ascii="Arial" w:hAnsi="Arial" w:cs="Arial"/>
        </w:rPr>
        <w:t>,</w:t>
      </w:r>
      <w:r w:rsidRPr="00C606A7">
        <w:rPr>
          <w:rFonts w:ascii="Arial" w:hAnsi="Arial" w:cs="Arial"/>
        </w:rPr>
        <w:t xml:space="preserve"> whose average ramp-up time is eight months and the percentage of graduates who leave is still high.</w:t>
      </w:r>
    </w:p>
    <w:p w14:paraId="3708CCFD" w14:textId="17A40C1E" w:rsidR="007835B8" w:rsidRPr="00C606A7" w:rsidRDefault="001D10D3" w:rsidP="00C606A7">
      <w:pPr>
        <w:spacing w:after="0" w:line="360" w:lineRule="auto"/>
        <w:jc w:val="both"/>
        <w:rPr>
          <w:rFonts w:ascii="Arial" w:hAnsi="Arial" w:cs="Arial"/>
        </w:rPr>
      </w:pPr>
      <w:r w:rsidRPr="00C606A7">
        <w:rPr>
          <w:rFonts w:ascii="Arial" w:hAnsi="Arial" w:cs="Arial"/>
        </w:rPr>
        <w:t>The strategic organisational socialisation redefines the process of integration of new hires as a long-term, identity-constitutive process. The most recent evidence base, Bauer et al. (2025</w:t>
      </w:r>
      <w:r w:rsidR="00E5190C" w:rsidRPr="00C606A7">
        <w:rPr>
          <w:rFonts w:ascii="Arial" w:hAnsi="Arial" w:cs="Arial"/>
        </w:rPr>
        <w:t>a</w:t>
      </w:r>
      <w:r w:rsidRPr="00C606A7">
        <w:rPr>
          <w:rFonts w:ascii="Arial" w:hAnsi="Arial" w:cs="Arial"/>
        </w:rPr>
        <w:t>), is based on a meta-analysis of 256 studies and proves that institutionalised, structured socialisation tactics</w:t>
      </w:r>
      <w:r w:rsidR="004D01D8" w:rsidRPr="00C606A7">
        <w:rPr>
          <w:rFonts w:ascii="Arial" w:hAnsi="Arial" w:cs="Arial"/>
        </w:rPr>
        <w:t>,</w:t>
      </w:r>
      <w:r w:rsidRPr="00C606A7">
        <w:rPr>
          <w:rFonts w:ascii="Arial" w:hAnsi="Arial" w:cs="Arial"/>
        </w:rPr>
        <w:t xml:space="preserve"> such as collective, formal, sequential, and supportive, are seen to outperform informal, individualised methods on role clarity, social acceptance, and decreased turnover intention. Importantly, the authors refer to social acceptance as the most crucial proximal adjustment measure, which has replaced task mastery as the initial early goal. </w:t>
      </w:r>
      <w:r w:rsidR="00E7351B" w:rsidRPr="00C606A7">
        <w:rPr>
          <w:rFonts w:ascii="Arial" w:hAnsi="Arial" w:cs="Arial"/>
        </w:rPr>
        <w:t xml:space="preserve">This finding directly challenges the conventional onboarding logic that prioritises functional productivity over relational </w:t>
      </w:r>
      <w:r w:rsidR="00E7351B" w:rsidRPr="00C606A7">
        <w:rPr>
          <w:rFonts w:ascii="Arial" w:hAnsi="Arial" w:cs="Arial"/>
        </w:rPr>
        <w:lastRenderedPageBreak/>
        <w:t xml:space="preserve">belonging. </w:t>
      </w:r>
      <w:r w:rsidRPr="00C606A7">
        <w:rPr>
          <w:rFonts w:ascii="Arial" w:hAnsi="Arial" w:cs="Arial"/>
        </w:rPr>
        <w:t>HUM has an 8-month ramp-up, which implies that new employees can develop task mastery in isolation, without social and psychological assimilation that hastens meaningful contribution.</w:t>
      </w:r>
    </w:p>
    <w:p w14:paraId="67ACD243" w14:textId="1F767F85" w:rsidR="007835B8" w:rsidRPr="00C606A7" w:rsidRDefault="001D10D3" w:rsidP="00C606A7">
      <w:pPr>
        <w:spacing w:after="0" w:line="360" w:lineRule="auto"/>
        <w:jc w:val="both"/>
        <w:rPr>
          <w:rFonts w:ascii="Arial" w:hAnsi="Arial" w:cs="Arial"/>
        </w:rPr>
      </w:pPr>
      <w:r w:rsidRPr="00C606A7">
        <w:rPr>
          <w:rFonts w:ascii="Arial" w:hAnsi="Arial" w:cs="Arial"/>
        </w:rPr>
        <w:t xml:space="preserve">Another explanatory theory is </w:t>
      </w:r>
      <w:r w:rsidR="004D01D8" w:rsidRPr="00C606A7">
        <w:rPr>
          <w:rFonts w:ascii="Arial" w:hAnsi="Arial" w:cs="Arial"/>
        </w:rPr>
        <w:t>the</w:t>
      </w:r>
      <w:r w:rsidRPr="00C606A7">
        <w:rPr>
          <w:rFonts w:ascii="Arial" w:hAnsi="Arial" w:cs="Arial"/>
        </w:rPr>
        <w:t xml:space="preserve"> psychological contract theory. Baruch and Rousseau (2019) reformulate the psychological contract in a multi-level career ecosystem, </w:t>
      </w:r>
      <w:r w:rsidR="004D01D8" w:rsidRPr="00C606A7">
        <w:rPr>
          <w:rFonts w:ascii="Arial" w:hAnsi="Arial" w:cs="Arial"/>
        </w:rPr>
        <w:t>where</w:t>
      </w:r>
      <w:r w:rsidRPr="00C606A7">
        <w:rPr>
          <w:rFonts w:ascii="Arial" w:hAnsi="Arial" w:cs="Arial"/>
        </w:rPr>
        <w:t xml:space="preserve"> new employees come to organisations with already developed expectations of mutual responsibilities - conditioned by recruitment messages and employer branding. Where organisations do not fulfil these perceived commitments in substantial early experiences, breach of contract happens at a fast rate, creating disengagement and voluntary exit. The weak socialisation and graduate attrition at HUM is not an exception to this trend: despite being hired on the promise of innovation and impact, newcomers face a poorly designed integration strategy that does not substantiate the employer value proposition. </w:t>
      </w:r>
    </w:p>
    <w:p w14:paraId="5A30E9F2" w14:textId="49616B2D" w:rsidR="001E034E" w:rsidRPr="00C606A7" w:rsidRDefault="001D10D3" w:rsidP="00C606A7">
      <w:pPr>
        <w:spacing w:after="0" w:line="360" w:lineRule="auto"/>
        <w:jc w:val="both"/>
        <w:rPr>
          <w:rFonts w:ascii="Arial" w:hAnsi="Arial" w:cs="Arial"/>
        </w:rPr>
      </w:pPr>
      <w:r w:rsidRPr="00C606A7">
        <w:rPr>
          <w:rFonts w:ascii="Arial" w:hAnsi="Arial" w:cs="Arial"/>
        </w:rPr>
        <w:t>Bauer et al. (2025</w:t>
      </w:r>
      <w:r w:rsidR="000A3472" w:rsidRPr="00C606A7">
        <w:rPr>
          <w:rFonts w:ascii="Arial" w:hAnsi="Arial" w:cs="Arial"/>
        </w:rPr>
        <w:t>b</w:t>
      </w:r>
      <w:r w:rsidRPr="00C606A7">
        <w:rPr>
          <w:rFonts w:ascii="Arial" w:hAnsi="Arial" w:cs="Arial"/>
        </w:rPr>
        <w:t xml:space="preserve">) also add that disruption through technology, the hybrid work </w:t>
      </w:r>
      <w:r w:rsidR="004D01D8" w:rsidRPr="00C606A7">
        <w:rPr>
          <w:rFonts w:ascii="Arial" w:hAnsi="Arial" w:cs="Arial"/>
        </w:rPr>
        <w:t>organisation</w:t>
      </w:r>
      <w:r w:rsidRPr="00C606A7">
        <w:rPr>
          <w:rFonts w:ascii="Arial" w:hAnsi="Arial" w:cs="Arial"/>
        </w:rPr>
        <w:t xml:space="preserve">, and increased loneliness among younger generations require that socialisation structures </w:t>
      </w:r>
      <w:r w:rsidR="004D01D8" w:rsidRPr="00C606A7">
        <w:rPr>
          <w:rFonts w:ascii="Arial" w:hAnsi="Arial" w:cs="Arial"/>
        </w:rPr>
        <w:t>be</w:t>
      </w:r>
      <w:r w:rsidRPr="00C606A7">
        <w:rPr>
          <w:rFonts w:ascii="Arial" w:hAnsi="Arial" w:cs="Arial"/>
        </w:rPr>
        <w:t xml:space="preserve"> clear about the </w:t>
      </w:r>
      <w:r w:rsidR="004D01D8" w:rsidRPr="00C606A7">
        <w:rPr>
          <w:rFonts w:ascii="Arial" w:hAnsi="Arial" w:cs="Arial"/>
        </w:rPr>
        <w:t>newcomer's adaptability</w:t>
      </w:r>
      <w:r w:rsidRPr="00C606A7">
        <w:rPr>
          <w:rFonts w:ascii="Arial" w:hAnsi="Arial" w:cs="Arial"/>
        </w:rPr>
        <w:t xml:space="preserve"> and connectivity. In the case of HUM, which is spread over three geographically distributed cities, this is a structural weakness that is </w:t>
      </w:r>
      <w:r w:rsidR="004D01D8" w:rsidRPr="00C606A7">
        <w:rPr>
          <w:rFonts w:ascii="Arial" w:hAnsi="Arial" w:cs="Arial"/>
        </w:rPr>
        <w:t>not completely</w:t>
      </w:r>
      <w:r w:rsidRPr="00C606A7">
        <w:rPr>
          <w:rFonts w:ascii="Arial" w:hAnsi="Arial" w:cs="Arial"/>
        </w:rPr>
        <w:t xml:space="preserve"> taken care of by traditional onboarding.</w:t>
      </w:r>
    </w:p>
    <w:p w14:paraId="047E864F" w14:textId="4B4CBE64" w:rsidR="007835B8" w:rsidRPr="00C606A7" w:rsidRDefault="007835B8" w:rsidP="00C606A7">
      <w:pPr>
        <w:pStyle w:val="Heading2"/>
        <w:spacing w:after="0" w:line="360" w:lineRule="auto"/>
        <w:jc w:val="both"/>
      </w:pPr>
      <w:bookmarkStart w:id="3" w:name="_Toc235186434"/>
      <w:r w:rsidRPr="00C606A7">
        <w:t>2.2 Structured Socialisation Framework for Helios</w:t>
      </w:r>
      <w:bookmarkEnd w:id="3"/>
    </w:p>
    <w:p w14:paraId="04F335EE" w14:textId="61CF6CF3" w:rsidR="007835B8" w:rsidRPr="00C606A7" w:rsidRDefault="001D10D3" w:rsidP="00C606A7">
      <w:pPr>
        <w:spacing w:after="0" w:line="360" w:lineRule="auto"/>
        <w:jc w:val="both"/>
        <w:rPr>
          <w:rFonts w:ascii="Arial" w:hAnsi="Arial" w:cs="Arial"/>
        </w:rPr>
      </w:pPr>
      <w:r w:rsidRPr="00C606A7">
        <w:rPr>
          <w:rFonts w:ascii="Arial" w:hAnsi="Arial" w:cs="Arial"/>
        </w:rPr>
        <w:t>Based on the analysis above, a three-stage strategic socialisation framework is suggested, including pre-boarding up to year one.</w:t>
      </w:r>
    </w:p>
    <w:p w14:paraId="0168ABE7" w14:textId="1A3C1D53" w:rsidR="007835B8" w:rsidRPr="00C606A7" w:rsidRDefault="007835B8" w:rsidP="00C606A7">
      <w:pPr>
        <w:spacing w:after="0" w:line="360" w:lineRule="auto"/>
        <w:jc w:val="both"/>
        <w:rPr>
          <w:rFonts w:ascii="Arial" w:hAnsi="Arial" w:cs="Arial"/>
        </w:rPr>
      </w:pPr>
      <w:r w:rsidRPr="00C606A7">
        <w:rPr>
          <w:rFonts w:ascii="Arial" w:hAnsi="Arial" w:cs="Arial"/>
          <w:b/>
          <w:bCs/>
        </w:rPr>
        <w:t>Phase 1 — Pre-boarding (Offer Acceptance to Day One).</w:t>
      </w:r>
      <w:r w:rsidRPr="00C606A7">
        <w:rPr>
          <w:rFonts w:ascii="Arial" w:hAnsi="Arial" w:cs="Arial"/>
        </w:rPr>
        <w:t xml:space="preserve"> </w:t>
      </w:r>
      <w:r w:rsidR="006956C2" w:rsidRPr="00C606A7">
        <w:rPr>
          <w:rFonts w:ascii="Arial" w:hAnsi="Arial" w:cs="Arial"/>
        </w:rPr>
        <w:t xml:space="preserve"> In their systematic review of the effectiveness of onboarding, </w:t>
      </w:r>
      <w:proofErr w:type="spellStart"/>
      <w:r w:rsidR="006956C2" w:rsidRPr="00C606A7">
        <w:rPr>
          <w:rFonts w:ascii="Arial" w:hAnsi="Arial" w:cs="Arial"/>
        </w:rPr>
        <w:t>Frögéli</w:t>
      </w:r>
      <w:proofErr w:type="spellEnd"/>
      <w:r w:rsidR="006956C2" w:rsidRPr="00C606A7">
        <w:rPr>
          <w:rFonts w:ascii="Arial" w:hAnsi="Arial" w:cs="Arial"/>
        </w:rPr>
        <w:t xml:space="preserve">, Jenner and Gustavsson (2023) affirm that structured engagement before formal start dates enhances the effectiveness of early socialisation. HUM needs to implement a digital pre-boarding platform that offers new employees </w:t>
      </w:r>
      <w:r w:rsidR="004D01D8" w:rsidRPr="00C606A7">
        <w:rPr>
          <w:rFonts w:ascii="Arial" w:hAnsi="Arial" w:cs="Arial"/>
        </w:rPr>
        <w:t xml:space="preserve">the </w:t>
      </w:r>
      <w:r w:rsidR="006956C2" w:rsidRPr="00C606A7">
        <w:rPr>
          <w:rFonts w:ascii="Arial" w:hAnsi="Arial" w:cs="Arial"/>
        </w:rPr>
        <w:t xml:space="preserve">company narrative on </w:t>
      </w:r>
      <w:r w:rsidR="00DE0E54" w:rsidRPr="00C606A7">
        <w:rPr>
          <w:rFonts w:ascii="Arial" w:hAnsi="Arial" w:cs="Arial"/>
        </w:rPr>
        <w:t>its</w:t>
      </w:r>
      <w:r w:rsidR="006956C2" w:rsidRPr="00C606A7">
        <w:rPr>
          <w:rFonts w:ascii="Arial" w:hAnsi="Arial" w:cs="Arial"/>
        </w:rPr>
        <w:t xml:space="preserve"> mission, team overview, and </w:t>
      </w:r>
      <w:r w:rsidR="009354BE" w:rsidRPr="00C606A7">
        <w:rPr>
          <w:rFonts w:ascii="Arial" w:hAnsi="Arial" w:cs="Arial"/>
        </w:rPr>
        <w:t>a briefing on its AI-enabled transport portfolio</w:t>
      </w:r>
      <w:r w:rsidR="006956C2" w:rsidRPr="00C606A7">
        <w:rPr>
          <w:rFonts w:ascii="Arial" w:hAnsi="Arial" w:cs="Arial"/>
        </w:rPr>
        <w:t xml:space="preserve">. It should be assigned a culture buddy, an existing employee </w:t>
      </w:r>
      <w:r w:rsidR="00DB1874">
        <w:rPr>
          <w:rFonts w:ascii="Arial" w:hAnsi="Arial" w:cs="Arial"/>
        </w:rPr>
        <w:t>who embodies</w:t>
      </w:r>
      <w:r w:rsidR="006956C2" w:rsidRPr="00C606A7">
        <w:rPr>
          <w:rFonts w:ascii="Arial" w:hAnsi="Arial" w:cs="Arial"/>
        </w:rPr>
        <w:t xml:space="preserve"> HUM values, at </w:t>
      </w:r>
      <w:r w:rsidR="00DE0E54" w:rsidRPr="00C606A7">
        <w:rPr>
          <w:rFonts w:ascii="Arial" w:hAnsi="Arial" w:cs="Arial"/>
        </w:rPr>
        <w:t xml:space="preserve">the </w:t>
      </w:r>
      <w:r w:rsidR="006956C2" w:rsidRPr="00C606A7">
        <w:rPr>
          <w:rFonts w:ascii="Arial" w:hAnsi="Arial" w:cs="Arial"/>
        </w:rPr>
        <w:t xml:space="preserve">offer stage to create relational anchors before Day One. This stage deals with the psychological contract in advance, harmonising the expectations of the newcomers with the organisational reality, before dissonance may develop (Baruch and Rousseau, 2019). </w:t>
      </w:r>
    </w:p>
    <w:p w14:paraId="2797787D" w14:textId="0B719E30" w:rsidR="007835B8" w:rsidRPr="00C606A7" w:rsidRDefault="007835B8" w:rsidP="00C606A7">
      <w:pPr>
        <w:spacing w:after="0" w:line="360" w:lineRule="auto"/>
        <w:jc w:val="both"/>
        <w:rPr>
          <w:rFonts w:ascii="Arial" w:hAnsi="Arial" w:cs="Arial"/>
        </w:rPr>
      </w:pPr>
      <w:r w:rsidRPr="00C606A7">
        <w:rPr>
          <w:rFonts w:ascii="Arial" w:hAnsi="Arial" w:cs="Arial"/>
          <w:b/>
          <w:bCs/>
        </w:rPr>
        <w:t>Phase 2 — First 90 Days (Structured Integration).</w:t>
      </w:r>
      <w:r w:rsidRPr="00C606A7">
        <w:rPr>
          <w:rFonts w:ascii="Arial" w:hAnsi="Arial" w:cs="Arial"/>
        </w:rPr>
        <w:t xml:space="preserve"> </w:t>
      </w:r>
      <w:r w:rsidR="006956C2" w:rsidRPr="00C606A7">
        <w:rPr>
          <w:rFonts w:ascii="Arial" w:hAnsi="Arial" w:cs="Arial"/>
        </w:rPr>
        <w:t>This is the critical period of social acceptance that is defined by Bauer et al. (2025</w:t>
      </w:r>
      <w:r w:rsidR="00E5190C" w:rsidRPr="00C606A7">
        <w:rPr>
          <w:rFonts w:ascii="Arial" w:hAnsi="Arial" w:cs="Arial"/>
        </w:rPr>
        <w:t>a</w:t>
      </w:r>
      <w:r w:rsidR="006956C2" w:rsidRPr="00C606A7">
        <w:rPr>
          <w:rFonts w:ascii="Arial" w:hAnsi="Arial" w:cs="Arial"/>
        </w:rPr>
        <w:t xml:space="preserve">). HUM needs to adopt cohort-based </w:t>
      </w:r>
      <w:r w:rsidR="006956C2" w:rsidRPr="00C606A7">
        <w:rPr>
          <w:rFonts w:ascii="Arial" w:hAnsi="Arial" w:cs="Arial"/>
        </w:rPr>
        <w:lastRenderedPageBreak/>
        <w:t xml:space="preserve">onboarding, which entails grouping new employees in the three offices together </w:t>
      </w:r>
      <w:r w:rsidR="00DE0E54" w:rsidRPr="00C606A7">
        <w:rPr>
          <w:rFonts w:ascii="Arial" w:hAnsi="Arial" w:cs="Arial"/>
        </w:rPr>
        <w:t>for</w:t>
      </w:r>
      <w:r w:rsidR="006956C2" w:rsidRPr="00C606A7">
        <w:rPr>
          <w:rFonts w:ascii="Arial" w:hAnsi="Arial" w:cs="Arial"/>
        </w:rPr>
        <w:t xml:space="preserve"> virtual and physical learning. Such a collective strategy leads to peer networks that cross site boundaries - right on point with the dispersed structure of HUM (Caligiuri et al., 2020). The weekly formal meetings of new employees with line managers should aim at clarifying roles, initial contributions, and </w:t>
      </w:r>
      <w:r w:rsidR="00DE0E54" w:rsidRPr="00C606A7">
        <w:rPr>
          <w:rFonts w:ascii="Arial" w:hAnsi="Arial" w:cs="Arial"/>
        </w:rPr>
        <w:t>socialisation</w:t>
      </w:r>
      <w:r w:rsidR="006956C2" w:rsidRPr="00C606A7">
        <w:rPr>
          <w:rFonts w:ascii="Arial" w:hAnsi="Arial" w:cs="Arial"/>
        </w:rPr>
        <w:t xml:space="preserve"> as opposed to performance appraisal. The existing non-specific ramp-up curve should be replaced with a </w:t>
      </w:r>
      <w:r w:rsidR="00DE0E54" w:rsidRPr="00C606A7">
        <w:rPr>
          <w:rFonts w:ascii="Arial" w:hAnsi="Arial" w:cs="Arial"/>
        </w:rPr>
        <w:t>30-60-90-day</w:t>
      </w:r>
      <w:r w:rsidR="006956C2" w:rsidRPr="00C606A7">
        <w:rPr>
          <w:rFonts w:ascii="Arial" w:hAnsi="Arial" w:cs="Arial"/>
        </w:rPr>
        <w:t xml:space="preserve"> milestone framework, which will give visible milestones of progress and decrease the uncertainty that leads to early attrition.</w:t>
      </w:r>
    </w:p>
    <w:p w14:paraId="13EFB3EA" w14:textId="4C645687" w:rsidR="001E034E" w:rsidRDefault="007835B8" w:rsidP="00C606A7">
      <w:pPr>
        <w:spacing w:after="0" w:line="360" w:lineRule="auto"/>
        <w:jc w:val="both"/>
        <w:rPr>
          <w:rFonts w:ascii="Arial" w:hAnsi="Arial" w:cs="Arial"/>
        </w:rPr>
      </w:pPr>
      <w:r w:rsidRPr="00C606A7">
        <w:rPr>
          <w:rFonts w:ascii="Arial" w:hAnsi="Arial" w:cs="Arial"/>
          <w:b/>
          <w:bCs/>
        </w:rPr>
        <w:t>Phase 3 — Year One (Identity Deepening).</w:t>
      </w:r>
      <w:r w:rsidRPr="00C606A7">
        <w:rPr>
          <w:rFonts w:ascii="Arial" w:hAnsi="Arial" w:cs="Arial"/>
        </w:rPr>
        <w:t xml:space="preserve"> </w:t>
      </w:r>
      <w:r w:rsidR="006956C2" w:rsidRPr="00C606A7">
        <w:rPr>
          <w:rFonts w:ascii="Arial" w:hAnsi="Arial" w:cs="Arial"/>
        </w:rPr>
        <w:t>Socialisation beyond the first 90 days would have to shift to identity formation. Graduates should be exposed to the full value chain of HUM mobility systems, infrastructure analytics and city-government alliances, in cross-functional project assignments to develop systemic knowledge of organisational purpose. Mentoring relationships with senior leaders must be institutionalised, offering guidance and conspicuous organisational investment (Knight, Patterson and Dawson, 2017). Integration progress should be monitored with regular engagement pulse surveys, which, in turn, need to be benchmarked against the framework of meaningful work, voice, and line manager support by Bailey et al. (2017).</w:t>
      </w:r>
    </w:p>
    <w:p w14:paraId="7AFFF5BC" w14:textId="2121CB3F" w:rsidR="00DB1874" w:rsidRPr="00791DDA" w:rsidRDefault="00DB1874" w:rsidP="00791DDA">
      <w:pPr>
        <w:rPr>
          <w:b/>
          <w:bCs/>
          <w:i/>
          <w:iCs/>
        </w:rPr>
      </w:pPr>
      <w:r w:rsidRPr="00791DDA">
        <w:rPr>
          <w:b/>
          <w:bCs/>
          <w:i/>
          <w:iCs/>
        </w:rPr>
        <w:t xml:space="preserve">Table </w:t>
      </w:r>
      <w:r w:rsidR="00E70867" w:rsidRPr="00791DDA">
        <w:rPr>
          <w:b/>
          <w:bCs/>
          <w:i/>
          <w:iCs/>
        </w:rPr>
        <w:t>1</w:t>
      </w:r>
      <w:r w:rsidRPr="00791DDA">
        <w:rPr>
          <w:b/>
          <w:bCs/>
          <w:i/>
          <w:iCs/>
        </w:rPr>
        <w:t>: Three-Phase Socialisation Framework for Helios Urban Mobility</w:t>
      </w:r>
    </w:p>
    <w:p w14:paraId="488323E8" w14:textId="4EB5C318" w:rsidR="00DB1874" w:rsidRDefault="00DB1874" w:rsidP="00DB1874">
      <w:r>
        <w:rPr>
          <w:rFonts w:ascii="Arial" w:eastAsia="Arial" w:hAnsi="Arial" w:cs="Arial"/>
          <w:i/>
          <w:iCs/>
          <w:color w:val="666666"/>
          <w:sz w:val="17"/>
          <w:szCs w:val="17"/>
        </w:rPr>
        <w:t>Task A — Section 2.2</w:t>
      </w:r>
      <w:r w:rsidR="00716424">
        <w:rPr>
          <w:rFonts w:ascii="Arial" w:eastAsia="Arial" w:hAnsi="Arial" w:cs="Arial"/>
          <w:i/>
          <w:iCs/>
          <w:color w:val="666666"/>
          <w:sz w:val="17"/>
          <w:szCs w:val="17"/>
        </w:rPr>
        <w:t xml:space="preserve">  </w:t>
      </w:r>
      <w:r>
        <w:rPr>
          <w:rFonts w:ascii="Arial" w:eastAsia="Arial" w:hAnsi="Arial" w:cs="Arial"/>
          <w:i/>
          <w:iCs/>
          <w:color w:val="666666"/>
          <w:sz w:val="17"/>
          <w:szCs w:val="17"/>
        </w:rPr>
        <w:t xml:space="preserve"> |  </w:t>
      </w:r>
      <w:r w:rsidR="00716424">
        <w:rPr>
          <w:rFonts w:ascii="Arial" w:eastAsia="Arial" w:hAnsi="Arial" w:cs="Arial"/>
          <w:i/>
          <w:iCs/>
          <w:color w:val="666666"/>
          <w:sz w:val="17"/>
          <w:szCs w:val="17"/>
        </w:rPr>
        <w:t xml:space="preserve"> </w:t>
      </w:r>
      <w:r>
        <w:rPr>
          <w:rFonts w:ascii="Arial" w:eastAsia="Arial" w:hAnsi="Arial" w:cs="Arial"/>
          <w:i/>
          <w:iCs/>
          <w:color w:val="666666"/>
          <w:sz w:val="17"/>
          <w:szCs w:val="17"/>
        </w:rPr>
        <w:t>Source: Author's own, informed by Bauer et al. (2025a), Baruch &amp; Rousseau (2019), Caligiuri et al. (2020) and Bailey et al. (2017)</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39"/>
        <w:gridCol w:w="1495"/>
        <w:gridCol w:w="2353"/>
        <w:gridCol w:w="2136"/>
        <w:gridCol w:w="1503"/>
      </w:tblGrid>
      <w:tr w:rsidR="00DB1874" w:rsidRPr="00AE45C9" w14:paraId="256712C6" w14:textId="77777777" w:rsidTr="00716424">
        <w:trPr>
          <w:trHeight w:val="560"/>
          <w:tblHeader/>
        </w:trPr>
        <w:tc>
          <w:tcPr>
            <w:tcW w:w="1500" w:type="dxa"/>
            <w:tcBorders>
              <w:top w:val="single" w:sz="4" w:space="0" w:color="auto"/>
              <w:left w:val="single" w:sz="4" w:space="0" w:color="auto"/>
              <w:bottom w:val="single" w:sz="12" w:space="0" w:color="C9A84C"/>
              <w:right w:val="single" w:sz="6" w:space="0" w:color="3A4F6E"/>
            </w:tcBorders>
            <w:shd w:val="clear" w:color="auto" w:fill="1A6B3A"/>
            <w:tcMar>
              <w:top w:w="120" w:type="dxa"/>
              <w:left w:w="140" w:type="dxa"/>
              <w:bottom w:w="120" w:type="dxa"/>
              <w:right w:w="140" w:type="dxa"/>
            </w:tcMar>
            <w:vAlign w:val="center"/>
            <w:hideMark/>
          </w:tcPr>
          <w:p w14:paraId="6A0569CC" w14:textId="77777777" w:rsidR="00DB1874" w:rsidRPr="00AE45C9" w:rsidRDefault="00DB1874">
            <w:pPr>
              <w:jc w:val="center"/>
              <w:rPr>
                <w:sz w:val="20"/>
                <w:szCs w:val="20"/>
              </w:rPr>
            </w:pPr>
            <w:r w:rsidRPr="00AE45C9">
              <w:rPr>
                <w:rFonts w:ascii="Arial" w:eastAsia="Arial" w:hAnsi="Arial" w:cs="Arial"/>
                <w:b/>
                <w:bCs/>
                <w:color w:val="FFFFFF"/>
                <w:spacing w:val="20"/>
                <w:sz w:val="20"/>
                <w:szCs w:val="20"/>
              </w:rPr>
              <w:t>Phase</w:t>
            </w:r>
          </w:p>
        </w:tc>
        <w:tc>
          <w:tcPr>
            <w:tcW w:w="1500" w:type="dxa"/>
            <w:tcBorders>
              <w:top w:val="single" w:sz="4" w:space="0" w:color="auto"/>
              <w:left w:val="single" w:sz="4" w:space="0" w:color="auto"/>
              <w:bottom w:val="single" w:sz="12" w:space="0" w:color="C9A84C"/>
              <w:right w:val="single" w:sz="6" w:space="0" w:color="3A4F6E"/>
            </w:tcBorders>
            <w:shd w:val="clear" w:color="auto" w:fill="1A6B3A"/>
            <w:tcMar>
              <w:top w:w="120" w:type="dxa"/>
              <w:left w:w="140" w:type="dxa"/>
              <w:bottom w:w="120" w:type="dxa"/>
              <w:right w:w="140" w:type="dxa"/>
            </w:tcMar>
            <w:vAlign w:val="center"/>
            <w:hideMark/>
          </w:tcPr>
          <w:p w14:paraId="6CB8B43D" w14:textId="77777777" w:rsidR="00DB1874" w:rsidRPr="00AE45C9" w:rsidRDefault="00DB1874">
            <w:pPr>
              <w:jc w:val="center"/>
              <w:rPr>
                <w:sz w:val="20"/>
                <w:szCs w:val="20"/>
              </w:rPr>
            </w:pPr>
            <w:r w:rsidRPr="00AE45C9">
              <w:rPr>
                <w:rFonts w:ascii="Arial" w:eastAsia="Arial" w:hAnsi="Arial" w:cs="Arial"/>
                <w:b/>
                <w:bCs/>
                <w:color w:val="FFFFFF"/>
                <w:spacing w:val="20"/>
                <w:sz w:val="20"/>
                <w:szCs w:val="20"/>
              </w:rPr>
              <w:t>Timeframe</w:t>
            </w:r>
          </w:p>
        </w:tc>
        <w:tc>
          <w:tcPr>
            <w:tcW w:w="2500" w:type="dxa"/>
            <w:tcBorders>
              <w:top w:val="single" w:sz="4" w:space="0" w:color="auto"/>
              <w:left w:val="single" w:sz="4" w:space="0" w:color="auto"/>
              <w:bottom w:val="single" w:sz="12" w:space="0" w:color="C9A84C"/>
              <w:right w:val="single" w:sz="6" w:space="0" w:color="3A4F6E"/>
            </w:tcBorders>
            <w:shd w:val="clear" w:color="auto" w:fill="1A6B3A"/>
            <w:tcMar>
              <w:top w:w="120" w:type="dxa"/>
              <w:left w:w="140" w:type="dxa"/>
              <w:bottom w:w="120" w:type="dxa"/>
              <w:right w:w="140" w:type="dxa"/>
            </w:tcMar>
            <w:vAlign w:val="center"/>
            <w:hideMark/>
          </w:tcPr>
          <w:p w14:paraId="04E76F0A" w14:textId="77777777" w:rsidR="00DB1874" w:rsidRPr="00AE45C9" w:rsidRDefault="00DB1874">
            <w:pPr>
              <w:jc w:val="center"/>
              <w:rPr>
                <w:sz w:val="20"/>
                <w:szCs w:val="20"/>
              </w:rPr>
            </w:pPr>
            <w:r w:rsidRPr="00AE45C9">
              <w:rPr>
                <w:rFonts w:ascii="Arial" w:eastAsia="Arial" w:hAnsi="Arial" w:cs="Arial"/>
                <w:b/>
                <w:bCs/>
                <w:color w:val="FFFFFF"/>
                <w:spacing w:val="20"/>
                <w:sz w:val="20"/>
                <w:szCs w:val="20"/>
              </w:rPr>
              <w:t>Key Activities</w:t>
            </w:r>
          </w:p>
        </w:tc>
        <w:tc>
          <w:tcPr>
            <w:tcW w:w="2300" w:type="dxa"/>
            <w:tcBorders>
              <w:top w:val="single" w:sz="4" w:space="0" w:color="auto"/>
              <w:left w:val="single" w:sz="4" w:space="0" w:color="auto"/>
              <w:bottom w:val="single" w:sz="12" w:space="0" w:color="C9A84C"/>
              <w:right w:val="single" w:sz="6" w:space="0" w:color="3A4F6E"/>
            </w:tcBorders>
            <w:shd w:val="clear" w:color="auto" w:fill="1A6B3A"/>
            <w:tcMar>
              <w:top w:w="120" w:type="dxa"/>
              <w:left w:w="140" w:type="dxa"/>
              <w:bottom w:w="120" w:type="dxa"/>
              <w:right w:w="140" w:type="dxa"/>
            </w:tcMar>
            <w:vAlign w:val="center"/>
            <w:hideMark/>
          </w:tcPr>
          <w:p w14:paraId="3D9B953F" w14:textId="77777777" w:rsidR="00DB1874" w:rsidRPr="00AE45C9" w:rsidRDefault="00DB1874">
            <w:pPr>
              <w:jc w:val="center"/>
              <w:rPr>
                <w:sz w:val="20"/>
                <w:szCs w:val="20"/>
              </w:rPr>
            </w:pPr>
            <w:r w:rsidRPr="00AE45C9">
              <w:rPr>
                <w:rFonts w:ascii="Arial" w:eastAsia="Arial" w:hAnsi="Arial" w:cs="Arial"/>
                <w:b/>
                <w:bCs/>
                <w:color w:val="FFFFFF"/>
                <w:spacing w:val="20"/>
                <w:sz w:val="20"/>
                <w:szCs w:val="20"/>
              </w:rPr>
              <w:t>Theory</w:t>
            </w:r>
          </w:p>
        </w:tc>
        <w:tc>
          <w:tcPr>
            <w:tcW w:w="1126" w:type="dxa"/>
            <w:tcBorders>
              <w:top w:val="single" w:sz="4" w:space="0" w:color="auto"/>
              <w:left w:val="single" w:sz="4" w:space="0" w:color="auto"/>
              <w:bottom w:val="single" w:sz="12" w:space="0" w:color="C9A84C"/>
              <w:right w:val="single" w:sz="6" w:space="0" w:color="3A4F6E"/>
            </w:tcBorders>
            <w:shd w:val="clear" w:color="auto" w:fill="1A6B3A"/>
            <w:tcMar>
              <w:top w:w="120" w:type="dxa"/>
              <w:left w:w="140" w:type="dxa"/>
              <w:bottom w:w="120" w:type="dxa"/>
              <w:right w:w="140" w:type="dxa"/>
            </w:tcMar>
            <w:vAlign w:val="center"/>
            <w:hideMark/>
          </w:tcPr>
          <w:p w14:paraId="14B957B9" w14:textId="77777777" w:rsidR="00DB1874" w:rsidRPr="00AE45C9" w:rsidRDefault="00DB1874">
            <w:pPr>
              <w:jc w:val="center"/>
              <w:rPr>
                <w:sz w:val="20"/>
                <w:szCs w:val="20"/>
              </w:rPr>
            </w:pPr>
            <w:r w:rsidRPr="00AE45C9">
              <w:rPr>
                <w:rFonts w:ascii="Arial" w:eastAsia="Arial" w:hAnsi="Arial" w:cs="Arial"/>
                <w:b/>
                <w:bCs/>
                <w:color w:val="FFFFFF"/>
                <w:spacing w:val="20"/>
                <w:sz w:val="20"/>
                <w:szCs w:val="20"/>
              </w:rPr>
              <w:t>HUM Challenge</w:t>
            </w:r>
          </w:p>
        </w:tc>
      </w:tr>
      <w:tr w:rsidR="00DB1874" w:rsidRPr="00AE45C9" w14:paraId="635B0BE5" w14:textId="77777777" w:rsidTr="00716424">
        <w:trPr>
          <w:trHeight w:val="700"/>
        </w:trPr>
        <w:tc>
          <w:tcPr>
            <w:tcW w:w="1500" w:type="dxa"/>
            <w:tcBorders>
              <w:top w:val="single" w:sz="4" w:space="0" w:color="D6E0EE"/>
              <w:left w:val="single" w:sz="18" w:space="0" w:color="C9A84C"/>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7E48031A" w14:textId="77777777" w:rsidR="00DB1874" w:rsidRPr="00AE45C9" w:rsidRDefault="00DB1874">
            <w:pPr>
              <w:spacing w:before="20" w:after="20"/>
              <w:rPr>
                <w:sz w:val="20"/>
                <w:szCs w:val="20"/>
              </w:rPr>
            </w:pPr>
            <w:r w:rsidRPr="00AE45C9">
              <w:rPr>
                <w:rFonts w:ascii="Arial" w:eastAsia="Arial" w:hAnsi="Arial" w:cs="Arial"/>
                <w:b/>
                <w:bCs/>
                <w:color w:val="1A6B3A"/>
                <w:sz w:val="20"/>
                <w:szCs w:val="20"/>
              </w:rPr>
              <w:t>Phase 1</w:t>
            </w:r>
          </w:p>
          <w:p w14:paraId="2BAC0019" w14:textId="77777777" w:rsidR="00DB1874" w:rsidRPr="00AE45C9" w:rsidRDefault="00DB1874">
            <w:pPr>
              <w:spacing w:before="20" w:after="20"/>
              <w:rPr>
                <w:sz w:val="20"/>
                <w:szCs w:val="20"/>
              </w:rPr>
            </w:pPr>
            <w:r w:rsidRPr="00AE45C9">
              <w:rPr>
                <w:rFonts w:ascii="Arial" w:eastAsia="Arial" w:hAnsi="Arial" w:cs="Arial"/>
                <w:color w:val="666666"/>
                <w:sz w:val="20"/>
                <w:szCs w:val="20"/>
              </w:rPr>
              <w:t>Pre-Boarding</w:t>
            </w:r>
          </w:p>
        </w:tc>
        <w:tc>
          <w:tcPr>
            <w:tcW w:w="1500" w:type="dxa"/>
            <w:tcBorders>
              <w:top w:val="single" w:sz="4" w:space="0" w:color="D6E0EE"/>
              <w:left w:val="single" w:sz="4" w:space="0" w:color="auto"/>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008C781B" w14:textId="77777777" w:rsidR="00DB1874" w:rsidRPr="00AE45C9" w:rsidRDefault="00DB1874">
            <w:pPr>
              <w:spacing w:before="20" w:after="20"/>
              <w:jc w:val="center"/>
              <w:rPr>
                <w:sz w:val="20"/>
                <w:szCs w:val="20"/>
              </w:rPr>
            </w:pPr>
            <w:r w:rsidRPr="00AE45C9">
              <w:rPr>
                <w:rFonts w:ascii="Arial" w:eastAsia="Arial" w:hAnsi="Arial" w:cs="Arial"/>
                <w:color w:val="666666"/>
                <w:sz w:val="20"/>
                <w:szCs w:val="20"/>
              </w:rPr>
              <w:t>Offer</w:t>
            </w:r>
          </w:p>
          <w:p w14:paraId="27E8600E" w14:textId="77777777" w:rsidR="00DB1874" w:rsidRPr="00AE45C9" w:rsidRDefault="00DB1874">
            <w:pPr>
              <w:spacing w:before="20" w:after="20"/>
              <w:jc w:val="center"/>
              <w:rPr>
                <w:sz w:val="20"/>
                <w:szCs w:val="20"/>
              </w:rPr>
            </w:pPr>
            <w:r w:rsidRPr="00AE45C9">
              <w:rPr>
                <w:rFonts w:ascii="Arial" w:eastAsia="Arial" w:hAnsi="Arial" w:cs="Arial"/>
                <w:color w:val="666666"/>
                <w:sz w:val="20"/>
                <w:szCs w:val="20"/>
              </w:rPr>
              <w:t>Acceptance</w:t>
            </w:r>
          </w:p>
          <w:p w14:paraId="18B9AE10" w14:textId="77777777" w:rsidR="00DB1874" w:rsidRPr="00AE45C9" w:rsidRDefault="00DB1874">
            <w:pPr>
              <w:spacing w:before="20" w:after="20"/>
              <w:jc w:val="center"/>
              <w:rPr>
                <w:sz w:val="20"/>
                <w:szCs w:val="20"/>
              </w:rPr>
            </w:pPr>
            <w:r w:rsidRPr="00AE45C9">
              <w:rPr>
                <w:rFonts w:ascii="Arial" w:eastAsia="Arial" w:hAnsi="Arial" w:cs="Arial"/>
                <w:color w:val="666666"/>
                <w:sz w:val="20"/>
                <w:szCs w:val="20"/>
              </w:rPr>
              <w:t>→ Day One</w:t>
            </w:r>
          </w:p>
        </w:tc>
        <w:tc>
          <w:tcPr>
            <w:tcW w:w="2500" w:type="dxa"/>
            <w:tcBorders>
              <w:top w:val="single" w:sz="4" w:space="0" w:color="D6E0EE"/>
              <w:left w:val="single" w:sz="4" w:space="0" w:color="auto"/>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26576AE7" w14:textId="77777777" w:rsidR="00DB1874" w:rsidRPr="00AE45C9" w:rsidRDefault="00DB1874">
            <w:pPr>
              <w:spacing w:before="20" w:after="20"/>
              <w:rPr>
                <w:sz w:val="20"/>
                <w:szCs w:val="20"/>
              </w:rPr>
            </w:pPr>
            <w:r w:rsidRPr="00AE45C9">
              <w:rPr>
                <w:rFonts w:ascii="Arial" w:eastAsia="Arial" w:hAnsi="Arial" w:cs="Arial"/>
                <w:color w:val="222222"/>
                <w:sz w:val="20"/>
                <w:szCs w:val="20"/>
              </w:rPr>
              <w:t>Digital pre-boarding portal; culture buddy assigned; mission narrative delivered; employer value proposition reinforced.</w:t>
            </w:r>
          </w:p>
        </w:tc>
        <w:tc>
          <w:tcPr>
            <w:tcW w:w="2300" w:type="dxa"/>
            <w:tcBorders>
              <w:top w:val="single" w:sz="4" w:space="0" w:color="D6E0EE"/>
              <w:left w:val="single" w:sz="4" w:space="0" w:color="auto"/>
              <w:bottom w:val="single" w:sz="4" w:space="0" w:color="D6E0EE"/>
              <w:right w:val="single" w:sz="4" w:space="0" w:color="auto"/>
            </w:tcBorders>
            <w:shd w:val="clear" w:color="auto" w:fill="E3F4F7"/>
            <w:tcMar>
              <w:top w:w="100" w:type="dxa"/>
              <w:left w:w="140" w:type="dxa"/>
              <w:bottom w:w="100" w:type="dxa"/>
              <w:right w:w="140" w:type="dxa"/>
            </w:tcMar>
            <w:vAlign w:val="center"/>
            <w:hideMark/>
          </w:tcPr>
          <w:p w14:paraId="02ACDBE7"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Baruch and</w:t>
            </w:r>
          </w:p>
          <w:p w14:paraId="3C7CDCAF"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Rousseau</w:t>
            </w:r>
          </w:p>
          <w:p w14:paraId="1D2B0AC5"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(2019)</w:t>
            </w:r>
          </w:p>
        </w:tc>
        <w:tc>
          <w:tcPr>
            <w:tcW w:w="1126" w:type="dxa"/>
            <w:tcBorders>
              <w:top w:val="single" w:sz="4" w:space="0" w:color="D6E0EE"/>
              <w:left w:val="single" w:sz="4" w:space="0" w:color="auto"/>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1748EA8E" w14:textId="77777777" w:rsidR="00DB1874" w:rsidRPr="00AE45C9" w:rsidRDefault="00DB1874">
            <w:pPr>
              <w:spacing w:before="20" w:after="20"/>
              <w:rPr>
                <w:sz w:val="20"/>
                <w:szCs w:val="20"/>
              </w:rPr>
            </w:pPr>
            <w:r w:rsidRPr="00AE45C9">
              <w:rPr>
                <w:rFonts w:ascii="Arial" w:eastAsia="Arial" w:hAnsi="Arial" w:cs="Arial"/>
                <w:color w:val="222222"/>
                <w:sz w:val="20"/>
                <w:szCs w:val="20"/>
              </w:rPr>
              <w:t>Psychological contract alignment before dissonance develops.</w:t>
            </w:r>
          </w:p>
        </w:tc>
      </w:tr>
      <w:tr w:rsidR="00DB1874" w:rsidRPr="00AE45C9" w14:paraId="2B3C1512" w14:textId="77777777" w:rsidTr="00716424">
        <w:trPr>
          <w:trHeight w:val="700"/>
        </w:trPr>
        <w:tc>
          <w:tcPr>
            <w:tcW w:w="1500" w:type="dxa"/>
            <w:tcBorders>
              <w:top w:val="single" w:sz="4" w:space="0" w:color="D6E0EE"/>
              <w:left w:val="single" w:sz="18" w:space="0" w:color="C9A84C"/>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36E446E1" w14:textId="77777777" w:rsidR="00DB1874" w:rsidRPr="00AE45C9" w:rsidRDefault="00DB1874">
            <w:pPr>
              <w:spacing w:before="20" w:after="20"/>
              <w:rPr>
                <w:sz w:val="20"/>
                <w:szCs w:val="20"/>
              </w:rPr>
            </w:pPr>
            <w:r w:rsidRPr="00AE45C9">
              <w:rPr>
                <w:rFonts w:ascii="Arial" w:eastAsia="Arial" w:hAnsi="Arial" w:cs="Arial"/>
                <w:b/>
                <w:bCs/>
                <w:color w:val="1A6B3A"/>
                <w:sz w:val="20"/>
                <w:szCs w:val="20"/>
              </w:rPr>
              <w:t>Phase 2</w:t>
            </w:r>
          </w:p>
          <w:p w14:paraId="6E7FF4C9" w14:textId="77777777" w:rsidR="00DB1874" w:rsidRPr="00AE45C9" w:rsidRDefault="00DB1874">
            <w:pPr>
              <w:spacing w:before="20" w:after="20"/>
              <w:rPr>
                <w:sz w:val="20"/>
                <w:szCs w:val="20"/>
              </w:rPr>
            </w:pPr>
            <w:r w:rsidRPr="00AE45C9">
              <w:rPr>
                <w:rFonts w:ascii="Arial" w:eastAsia="Arial" w:hAnsi="Arial" w:cs="Arial"/>
                <w:color w:val="666666"/>
                <w:sz w:val="20"/>
                <w:szCs w:val="20"/>
              </w:rPr>
              <w:t>First 90 Days</w:t>
            </w:r>
          </w:p>
        </w:tc>
        <w:tc>
          <w:tcPr>
            <w:tcW w:w="1500" w:type="dxa"/>
            <w:tcBorders>
              <w:top w:val="single" w:sz="4" w:space="0" w:color="D6E0EE"/>
              <w:left w:val="single" w:sz="4" w:space="0" w:color="auto"/>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3DDEB510" w14:textId="77777777" w:rsidR="00DB1874" w:rsidRPr="00AE45C9" w:rsidRDefault="00DB1874">
            <w:pPr>
              <w:spacing w:before="20" w:after="20"/>
              <w:jc w:val="center"/>
              <w:rPr>
                <w:sz w:val="20"/>
                <w:szCs w:val="20"/>
              </w:rPr>
            </w:pPr>
            <w:r w:rsidRPr="00AE45C9">
              <w:rPr>
                <w:rFonts w:ascii="Arial" w:eastAsia="Arial" w:hAnsi="Arial" w:cs="Arial"/>
                <w:color w:val="666666"/>
                <w:sz w:val="20"/>
                <w:szCs w:val="20"/>
              </w:rPr>
              <w:t>Days</w:t>
            </w:r>
          </w:p>
          <w:p w14:paraId="23D4EBF9" w14:textId="77777777" w:rsidR="00DB1874" w:rsidRPr="00AE45C9" w:rsidRDefault="00DB1874">
            <w:pPr>
              <w:spacing w:before="20" w:after="20"/>
              <w:jc w:val="center"/>
              <w:rPr>
                <w:sz w:val="20"/>
                <w:szCs w:val="20"/>
              </w:rPr>
            </w:pPr>
            <w:r w:rsidRPr="00AE45C9">
              <w:rPr>
                <w:rFonts w:ascii="Arial" w:eastAsia="Arial" w:hAnsi="Arial" w:cs="Arial"/>
                <w:color w:val="666666"/>
                <w:sz w:val="20"/>
                <w:szCs w:val="20"/>
              </w:rPr>
              <w:t>1–90</w:t>
            </w:r>
          </w:p>
        </w:tc>
        <w:tc>
          <w:tcPr>
            <w:tcW w:w="2500" w:type="dxa"/>
            <w:tcBorders>
              <w:top w:val="single" w:sz="4" w:space="0" w:color="D6E0EE"/>
              <w:left w:val="single" w:sz="4" w:space="0" w:color="auto"/>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3A6D7C09" w14:textId="77777777" w:rsidR="00DB1874" w:rsidRPr="00AE45C9" w:rsidRDefault="00DB1874">
            <w:pPr>
              <w:spacing w:before="20" w:after="20"/>
              <w:rPr>
                <w:sz w:val="20"/>
                <w:szCs w:val="20"/>
              </w:rPr>
            </w:pPr>
            <w:r w:rsidRPr="00AE45C9">
              <w:rPr>
                <w:rFonts w:ascii="Arial" w:eastAsia="Arial" w:hAnsi="Arial" w:cs="Arial"/>
                <w:color w:val="222222"/>
                <w:sz w:val="20"/>
                <w:szCs w:val="20"/>
              </w:rPr>
              <w:t>Cohort-based onboarding across three sites; 30-60-90 milestone framework; weekly structured line manager check-ins focused on social integration.</w:t>
            </w:r>
          </w:p>
        </w:tc>
        <w:tc>
          <w:tcPr>
            <w:tcW w:w="2300" w:type="dxa"/>
            <w:tcBorders>
              <w:top w:val="single" w:sz="4" w:space="0" w:color="D6E0EE"/>
              <w:left w:val="single" w:sz="4" w:space="0" w:color="auto"/>
              <w:bottom w:val="single" w:sz="4" w:space="0" w:color="D6E0EE"/>
              <w:right w:val="single" w:sz="4" w:space="0" w:color="auto"/>
            </w:tcBorders>
            <w:shd w:val="clear" w:color="auto" w:fill="E3F4F7"/>
            <w:tcMar>
              <w:top w:w="100" w:type="dxa"/>
              <w:left w:w="140" w:type="dxa"/>
              <w:bottom w:w="100" w:type="dxa"/>
              <w:right w:w="140" w:type="dxa"/>
            </w:tcMar>
            <w:vAlign w:val="center"/>
            <w:hideMark/>
          </w:tcPr>
          <w:p w14:paraId="153C312D"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Bauer et al.</w:t>
            </w:r>
          </w:p>
          <w:p w14:paraId="41373EE6"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(2025a);</w:t>
            </w:r>
          </w:p>
          <w:p w14:paraId="7F74D631"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Caligiuri et al.</w:t>
            </w:r>
          </w:p>
          <w:p w14:paraId="404A116F"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(2020)</w:t>
            </w:r>
          </w:p>
        </w:tc>
        <w:tc>
          <w:tcPr>
            <w:tcW w:w="1126" w:type="dxa"/>
            <w:tcBorders>
              <w:top w:val="single" w:sz="4" w:space="0" w:color="D6E0EE"/>
              <w:left w:val="single" w:sz="4" w:space="0" w:color="auto"/>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748B9E12" w14:textId="77777777" w:rsidR="00DB1874" w:rsidRPr="00AE45C9" w:rsidRDefault="00DB1874">
            <w:pPr>
              <w:spacing w:before="20" w:after="20"/>
              <w:rPr>
                <w:sz w:val="20"/>
                <w:szCs w:val="20"/>
              </w:rPr>
            </w:pPr>
            <w:r w:rsidRPr="00AE45C9">
              <w:rPr>
                <w:rFonts w:ascii="Arial" w:eastAsia="Arial" w:hAnsi="Arial" w:cs="Arial"/>
                <w:color w:val="222222"/>
                <w:sz w:val="20"/>
                <w:szCs w:val="20"/>
              </w:rPr>
              <w:t>Social acceptance; ramp-up reduction; cross-site peer network formation.</w:t>
            </w:r>
          </w:p>
        </w:tc>
      </w:tr>
      <w:tr w:rsidR="00DB1874" w:rsidRPr="00AE45C9" w14:paraId="66DAD27A" w14:textId="77777777" w:rsidTr="00716424">
        <w:trPr>
          <w:trHeight w:val="700"/>
        </w:trPr>
        <w:tc>
          <w:tcPr>
            <w:tcW w:w="1500" w:type="dxa"/>
            <w:tcBorders>
              <w:top w:val="single" w:sz="4" w:space="0" w:color="D6E0EE"/>
              <w:left w:val="single" w:sz="18" w:space="0" w:color="C9A84C"/>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3B01292F" w14:textId="77777777" w:rsidR="00DB1874" w:rsidRPr="00AE45C9" w:rsidRDefault="00DB1874">
            <w:pPr>
              <w:spacing w:before="20" w:after="20"/>
              <w:rPr>
                <w:sz w:val="20"/>
                <w:szCs w:val="20"/>
              </w:rPr>
            </w:pPr>
            <w:r w:rsidRPr="00AE45C9">
              <w:rPr>
                <w:rFonts w:ascii="Arial" w:eastAsia="Arial" w:hAnsi="Arial" w:cs="Arial"/>
                <w:b/>
                <w:bCs/>
                <w:color w:val="1A6B3A"/>
                <w:sz w:val="20"/>
                <w:szCs w:val="20"/>
              </w:rPr>
              <w:lastRenderedPageBreak/>
              <w:t>Phase 3</w:t>
            </w:r>
          </w:p>
          <w:p w14:paraId="3695BB27" w14:textId="77777777" w:rsidR="00DB1874" w:rsidRPr="00AE45C9" w:rsidRDefault="00DB1874">
            <w:pPr>
              <w:spacing w:before="20" w:after="20"/>
              <w:rPr>
                <w:sz w:val="20"/>
                <w:szCs w:val="20"/>
              </w:rPr>
            </w:pPr>
            <w:r w:rsidRPr="00AE45C9">
              <w:rPr>
                <w:rFonts w:ascii="Arial" w:eastAsia="Arial" w:hAnsi="Arial" w:cs="Arial"/>
                <w:color w:val="666666"/>
                <w:sz w:val="20"/>
                <w:szCs w:val="20"/>
              </w:rPr>
              <w:t>Year One</w:t>
            </w:r>
          </w:p>
        </w:tc>
        <w:tc>
          <w:tcPr>
            <w:tcW w:w="1500" w:type="dxa"/>
            <w:tcBorders>
              <w:top w:val="single" w:sz="4" w:space="0" w:color="D6E0EE"/>
              <w:left w:val="single" w:sz="4" w:space="0" w:color="auto"/>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2939A129" w14:textId="77777777" w:rsidR="00DB1874" w:rsidRPr="00AE45C9" w:rsidRDefault="00DB1874">
            <w:pPr>
              <w:spacing w:before="20" w:after="20"/>
              <w:jc w:val="center"/>
              <w:rPr>
                <w:sz w:val="20"/>
                <w:szCs w:val="20"/>
              </w:rPr>
            </w:pPr>
            <w:r w:rsidRPr="00AE45C9">
              <w:rPr>
                <w:rFonts w:ascii="Arial" w:eastAsia="Arial" w:hAnsi="Arial" w:cs="Arial"/>
                <w:color w:val="666666"/>
                <w:sz w:val="20"/>
                <w:szCs w:val="20"/>
              </w:rPr>
              <w:t>Months</w:t>
            </w:r>
          </w:p>
          <w:p w14:paraId="22E85B24" w14:textId="77777777" w:rsidR="00DB1874" w:rsidRPr="00AE45C9" w:rsidRDefault="00DB1874">
            <w:pPr>
              <w:spacing w:before="20" w:after="20"/>
              <w:jc w:val="center"/>
              <w:rPr>
                <w:sz w:val="20"/>
                <w:szCs w:val="20"/>
              </w:rPr>
            </w:pPr>
            <w:r w:rsidRPr="00AE45C9">
              <w:rPr>
                <w:rFonts w:ascii="Arial" w:eastAsia="Arial" w:hAnsi="Arial" w:cs="Arial"/>
                <w:color w:val="666666"/>
                <w:sz w:val="20"/>
                <w:szCs w:val="20"/>
              </w:rPr>
              <w:t>4–12</w:t>
            </w:r>
          </w:p>
        </w:tc>
        <w:tc>
          <w:tcPr>
            <w:tcW w:w="2500" w:type="dxa"/>
            <w:tcBorders>
              <w:top w:val="single" w:sz="4" w:space="0" w:color="D6E0EE"/>
              <w:left w:val="single" w:sz="4" w:space="0" w:color="auto"/>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46FD453A" w14:textId="77777777" w:rsidR="00DB1874" w:rsidRPr="00AE45C9" w:rsidRDefault="00DB1874">
            <w:pPr>
              <w:spacing w:before="20" w:after="20"/>
              <w:rPr>
                <w:sz w:val="20"/>
                <w:szCs w:val="20"/>
              </w:rPr>
            </w:pPr>
            <w:r w:rsidRPr="00AE45C9">
              <w:rPr>
                <w:rFonts w:ascii="Arial" w:eastAsia="Arial" w:hAnsi="Arial" w:cs="Arial"/>
                <w:color w:val="222222"/>
                <w:sz w:val="20"/>
                <w:szCs w:val="20"/>
              </w:rPr>
              <w:t>Cross-functional project assignments; formalised senior mentoring; engagement pulse surveys benchmarked against meaning, voice, and manager support.</w:t>
            </w:r>
          </w:p>
        </w:tc>
        <w:tc>
          <w:tcPr>
            <w:tcW w:w="2300" w:type="dxa"/>
            <w:tcBorders>
              <w:top w:val="single" w:sz="4" w:space="0" w:color="D6E0EE"/>
              <w:left w:val="single" w:sz="4" w:space="0" w:color="auto"/>
              <w:bottom w:val="single" w:sz="4" w:space="0" w:color="D6E0EE"/>
              <w:right w:val="single" w:sz="4" w:space="0" w:color="auto"/>
            </w:tcBorders>
            <w:shd w:val="clear" w:color="auto" w:fill="E3F4F7"/>
            <w:tcMar>
              <w:top w:w="100" w:type="dxa"/>
              <w:left w:w="140" w:type="dxa"/>
              <w:bottom w:w="100" w:type="dxa"/>
              <w:right w:w="140" w:type="dxa"/>
            </w:tcMar>
            <w:vAlign w:val="center"/>
            <w:hideMark/>
          </w:tcPr>
          <w:p w14:paraId="7D55910B"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Knight et al.</w:t>
            </w:r>
          </w:p>
          <w:p w14:paraId="56AA3E11"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(2017);</w:t>
            </w:r>
          </w:p>
          <w:p w14:paraId="5C1C01BE"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Bailey et al.</w:t>
            </w:r>
          </w:p>
          <w:p w14:paraId="397BC19F" w14:textId="77777777" w:rsidR="00DB1874" w:rsidRPr="00AE45C9" w:rsidRDefault="00DB1874">
            <w:pPr>
              <w:spacing w:before="20" w:after="20"/>
              <w:jc w:val="center"/>
              <w:rPr>
                <w:sz w:val="20"/>
                <w:szCs w:val="20"/>
              </w:rPr>
            </w:pPr>
            <w:r w:rsidRPr="00AE45C9">
              <w:rPr>
                <w:rFonts w:ascii="Arial" w:eastAsia="Arial" w:hAnsi="Arial" w:cs="Arial"/>
                <w:i/>
                <w:iCs/>
                <w:color w:val="0D5C6E"/>
                <w:sz w:val="20"/>
                <w:szCs w:val="20"/>
              </w:rPr>
              <w:t>(2017)</w:t>
            </w:r>
          </w:p>
        </w:tc>
        <w:tc>
          <w:tcPr>
            <w:tcW w:w="1126" w:type="dxa"/>
            <w:tcBorders>
              <w:top w:val="single" w:sz="4" w:space="0" w:color="D6E0EE"/>
              <w:left w:val="single" w:sz="4" w:space="0" w:color="auto"/>
              <w:bottom w:val="single" w:sz="4" w:space="0" w:color="D6E0EE"/>
              <w:right w:val="single" w:sz="4" w:space="0" w:color="auto"/>
            </w:tcBorders>
            <w:shd w:val="clear" w:color="auto" w:fill="E8F5EE"/>
            <w:tcMar>
              <w:top w:w="100" w:type="dxa"/>
              <w:left w:w="140" w:type="dxa"/>
              <w:bottom w:w="100" w:type="dxa"/>
              <w:right w:w="140" w:type="dxa"/>
            </w:tcMar>
            <w:vAlign w:val="center"/>
            <w:hideMark/>
          </w:tcPr>
          <w:p w14:paraId="5BBFC44E" w14:textId="77777777" w:rsidR="00DB1874" w:rsidRPr="00AE45C9" w:rsidRDefault="00DB1874">
            <w:pPr>
              <w:spacing w:before="20" w:after="20"/>
              <w:rPr>
                <w:sz w:val="20"/>
                <w:szCs w:val="20"/>
              </w:rPr>
            </w:pPr>
            <w:r w:rsidRPr="00AE45C9">
              <w:rPr>
                <w:rFonts w:ascii="Arial" w:eastAsia="Arial" w:hAnsi="Arial" w:cs="Arial"/>
                <w:color w:val="222222"/>
                <w:sz w:val="20"/>
                <w:szCs w:val="20"/>
              </w:rPr>
              <w:t>Identity deepening; graduate retention; sustained engagement above 54%.</w:t>
            </w:r>
          </w:p>
        </w:tc>
      </w:tr>
    </w:tbl>
    <w:p w14:paraId="085F8013" w14:textId="290F5E95" w:rsidR="00DB1874" w:rsidRPr="00C606A7" w:rsidRDefault="00DB1874" w:rsidP="00C606A7">
      <w:pPr>
        <w:spacing w:after="0" w:line="360" w:lineRule="auto"/>
        <w:jc w:val="both"/>
        <w:rPr>
          <w:rFonts w:ascii="Arial" w:hAnsi="Arial" w:cs="Arial"/>
        </w:rPr>
      </w:pPr>
    </w:p>
    <w:p w14:paraId="13C614DF" w14:textId="3C549548" w:rsidR="007835B8" w:rsidRPr="00C606A7" w:rsidRDefault="007835B8" w:rsidP="00C606A7">
      <w:pPr>
        <w:pStyle w:val="Heading2"/>
        <w:spacing w:after="0" w:line="360" w:lineRule="auto"/>
        <w:jc w:val="both"/>
      </w:pPr>
      <w:bookmarkStart w:id="4" w:name="_Toc235186435"/>
      <w:r w:rsidRPr="00C606A7">
        <w:t>2.3 Cultivating Organisational Identification, Ethical Professionalism, and the Business Activist Mindset</w:t>
      </w:r>
      <w:bookmarkEnd w:id="4"/>
    </w:p>
    <w:p w14:paraId="685649F3" w14:textId="6FDCB905" w:rsidR="00842569" w:rsidRPr="00C606A7" w:rsidRDefault="006956C2" w:rsidP="00C606A7">
      <w:pPr>
        <w:spacing w:after="0" w:line="360" w:lineRule="auto"/>
        <w:jc w:val="both"/>
        <w:rPr>
          <w:rFonts w:ascii="Arial" w:hAnsi="Arial" w:cs="Arial"/>
        </w:rPr>
      </w:pPr>
      <w:r w:rsidRPr="00C606A7">
        <w:rPr>
          <w:rFonts w:ascii="Arial" w:hAnsi="Arial" w:cs="Arial"/>
        </w:rPr>
        <w:t>According to identity construction theory, employees incorporate organisational membership into their self-concept through an active, value-laden engagement over time, which has to be carefully designed, not assumed (Bailey et al., 2017). In the case of HUM, this requires internalising mission-focused stories at each of the three socialisation stages, articulating graduate roles to organisational purpose: empowering city governments around the world to provide cleaner, smarter urban mobility. Identification cannot be produced by a single induction episode</w:t>
      </w:r>
      <w:r w:rsidR="00DE0E54" w:rsidRPr="00C606A7">
        <w:rPr>
          <w:rFonts w:ascii="Arial" w:hAnsi="Arial" w:cs="Arial"/>
        </w:rPr>
        <w:t>;</w:t>
      </w:r>
      <w:r w:rsidRPr="00C606A7">
        <w:rPr>
          <w:rFonts w:ascii="Arial" w:hAnsi="Arial" w:cs="Arial"/>
        </w:rPr>
        <w:t xml:space="preserve"> rather</w:t>
      </w:r>
      <w:r w:rsidR="00DE0E54" w:rsidRPr="00C606A7">
        <w:rPr>
          <w:rFonts w:ascii="Arial" w:hAnsi="Arial" w:cs="Arial"/>
        </w:rPr>
        <w:t>,</w:t>
      </w:r>
      <w:r w:rsidRPr="00C606A7">
        <w:rPr>
          <w:rFonts w:ascii="Arial" w:hAnsi="Arial" w:cs="Arial"/>
        </w:rPr>
        <w:t xml:space="preserve"> it must be reinforced.</w:t>
      </w:r>
    </w:p>
    <w:p w14:paraId="515FE570" w14:textId="4A683670" w:rsidR="00842569" w:rsidRPr="00C606A7" w:rsidRDefault="006956C2" w:rsidP="00C606A7">
      <w:pPr>
        <w:spacing w:after="0" w:line="360" w:lineRule="auto"/>
        <w:jc w:val="both"/>
        <w:rPr>
          <w:rFonts w:ascii="Arial" w:hAnsi="Arial" w:cs="Arial"/>
        </w:rPr>
      </w:pPr>
      <w:r w:rsidRPr="00C606A7">
        <w:rPr>
          <w:rFonts w:ascii="Arial" w:hAnsi="Arial" w:cs="Arial"/>
        </w:rPr>
        <w:t xml:space="preserve">Ethical professionalism needs institutionalisation at the structural level in a </w:t>
      </w:r>
      <w:r w:rsidR="00DE0E54" w:rsidRPr="00C606A7">
        <w:rPr>
          <w:rFonts w:ascii="Arial" w:hAnsi="Arial" w:cs="Arial"/>
        </w:rPr>
        <w:t>rapidly scaling</w:t>
      </w:r>
      <w:r w:rsidRPr="00C606A7">
        <w:rPr>
          <w:rFonts w:ascii="Arial" w:hAnsi="Arial" w:cs="Arial"/>
        </w:rPr>
        <w:t xml:space="preserve"> technology company. As Leicht-Deobald et al. (2019) show, data-driven environments undermine the moral imagination of practitioners unless an ethical deliberative practice is introduced via the transparent modelling of leadership and ordered team reflection. HUM needs to </w:t>
      </w:r>
      <w:r w:rsidR="00DE0E54" w:rsidRPr="00C606A7">
        <w:rPr>
          <w:rFonts w:ascii="Arial" w:hAnsi="Arial" w:cs="Arial"/>
        </w:rPr>
        <w:t>institutionalise</w:t>
      </w:r>
      <w:r w:rsidRPr="00C606A7">
        <w:rPr>
          <w:rFonts w:ascii="Arial" w:hAnsi="Arial" w:cs="Arial"/>
        </w:rPr>
        <w:t xml:space="preserve"> these mechanisms as practice and not values.</w:t>
      </w:r>
    </w:p>
    <w:p w14:paraId="66F1E4AF" w14:textId="4608D594" w:rsidR="00842569" w:rsidRPr="00C606A7" w:rsidRDefault="00E7351B" w:rsidP="00C606A7">
      <w:pPr>
        <w:spacing w:after="0" w:line="360" w:lineRule="auto"/>
        <w:jc w:val="both"/>
        <w:rPr>
          <w:rFonts w:ascii="Arial" w:hAnsi="Arial" w:cs="Arial"/>
        </w:rPr>
      </w:pPr>
      <w:r w:rsidRPr="00C606A7">
        <w:rPr>
          <w:rFonts w:ascii="Arial" w:hAnsi="Arial" w:cs="Arial"/>
        </w:rPr>
        <w:t xml:space="preserve">Business activist mindset evokes the HR business partner role, which went from functional expert to strategic partner and societal value creator (Kim et al., 2025) to one that actively advocates for employees, communities and the environment, in addition to shareholders. </w:t>
      </w:r>
      <w:r w:rsidR="006956C2" w:rsidRPr="00C606A7">
        <w:rPr>
          <w:rFonts w:ascii="Arial" w:hAnsi="Arial" w:cs="Arial"/>
        </w:rPr>
        <w:t xml:space="preserve">Hambrick and </w:t>
      </w:r>
      <w:proofErr w:type="spellStart"/>
      <w:r w:rsidR="006956C2" w:rsidRPr="00C606A7">
        <w:rPr>
          <w:rFonts w:ascii="Arial" w:hAnsi="Arial" w:cs="Arial"/>
        </w:rPr>
        <w:t>Wowak</w:t>
      </w:r>
      <w:proofErr w:type="spellEnd"/>
      <w:r w:rsidR="006956C2" w:rsidRPr="00C606A7">
        <w:rPr>
          <w:rFonts w:ascii="Arial" w:hAnsi="Arial" w:cs="Arial"/>
        </w:rPr>
        <w:t xml:space="preserve"> (2021) affirm that stakeholder-alignment positions lead to higher identification and pride among purpose-driven graduates. The leadership of HUM should promote its urban sustainability mission as </w:t>
      </w:r>
      <w:r w:rsidR="006956C2" w:rsidRPr="00C606A7">
        <w:rPr>
          <w:rFonts w:ascii="Arial" w:hAnsi="Arial" w:cs="Arial"/>
        </w:rPr>
        <w:lastRenderedPageBreak/>
        <w:t>a core part of employer identity, which will provide the employees with an energising story to internalise and promote.</w:t>
      </w:r>
    </w:p>
    <w:p w14:paraId="4F48F10E" w14:textId="77777777" w:rsidR="001E034E" w:rsidRPr="00C606A7" w:rsidRDefault="001E034E" w:rsidP="00C606A7">
      <w:pPr>
        <w:spacing w:after="0" w:line="360" w:lineRule="auto"/>
        <w:jc w:val="both"/>
        <w:rPr>
          <w:rFonts w:ascii="Arial" w:hAnsi="Arial" w:cs="Arial"/>
        </w:rPr>
      </w:pPr>
    </w:p>
    <w:p w14:paraId="02672C80" w14:textId="77777777" w:rsidR="00416A09" w:rsidRPr="00C606A7" w:rsidRDefault="00416A09" w:rsidP="00C606A7">
      <w:pPr>
        <w:pStyle w:val="Heading1"/>
        <w:spacing w:after="0" w:line="360" w:lineRule="auto"/>
        <w:jc w:val="both"/>
      </w:pPr>
      <w:bookmarkStart w:id="5" w:name="_Toc235186436"/>
      <w:r w:rsidRPr="00C606A7">
        <w:t>3. Task B: Job Design</w:t>
      </w:r>
      <w:bookmarkEnd w:id="5"/>
    </w:p>
    <w:p w14:paraId="4B22E265" w14:textId="77777777" w:rsidR="00416A09" w:rsidRPr="00C606A7" w:rsidRDefault="00416A09" w:rsidP="00C606A7">
      <w:pPr>
        <w:pStyle w:val="Heading2"/>
        <w:spacing w:after="0" w:line="360" w:lineRule="auto"/>
        <w:jc w:val="both"/>
      </w:pPr>
      <w:bookmarkStart w:id="6" w:name="_Toc235186437"/>
      <w:r w:rsidRPr="00C606A7">
        <w:t>3.1 Innovative Job Design Strategy</w:t>
      </w:r>
      <w:bookmarkEnd w:id="6"/>
    </w:p>
    <w:p w14:paraId="145429DE" w14:textId="030DEBD7" w:rsidR="00416A09" w:rsidRPr="00C606A7" w:rsidRDefault="006956C2" w:rsidP="00C606A7">
      <w:pPr>
        <w:spacing w:after="0" w:line="360" w:lineRule="auto"/>
        <w:jc w:val="both"/>
        <w:rPr>
          <w:rFonts w:ascii="Arial" w:hAnsi="Arial" w:cs="Arial"/>
        </w:rPr>
      </w:pPr>
      <w:r w:rsidRPr="00C606A7">
        <w:rPr>
          <w:rFonts w:ascii="Arial" w:hAnsi="Arial" w:cs="Arial"/>
        </w:rPr>
        <w:t xml:space="preserve">The traditional job design, with a defined role description and limited task assignment, is a core strategy mismatch at HUM, a tech-based start-up with decreasing levels of engagement and high turnover rates. The organisation needs the dynamic, </w:t>
      </w:r>
      <w:r w:rsidR="00DE0E54" w:rsidRPr="00C606A7">
        <w:rPr>
          <w:rFonts w:ascii="Arial" w:hAnsi="Arial" w:cs="Arial"/>
        </w:rPr>
        <w:t>evidence-based</w:t>
      </w:r>
      <w:r w:rsidRPr="00C606A7">
        <w:rPr>
          <w:rFonts w:ascii="Arial" w:hAnsi="Arial" w:cs="Arial"/>
        </w:rPr>
        <w:t xml:space="preserve"> approach that deals not only with the structural job architecture but also with the agency of the employees in that structure. It suggests a three-pillar approach that combines the Job Characteristics Model, job crafting theory, and a skills-based architecture to develop a motivating environment that attracts and retains high-potential talent and maintains the capacity to innovate.</w:t>
      </w:r>
    </w:p>
    <w:p w14:paraId="7BD6E6B6" w14:textId="6DA00B5F" w:rsidR="00416A09" w:rsidRPr="00C606A7" w:rsidRDefault="00416A09" w:rsidP="00C606A7">
      <w:pPr>
        <w:spacing w:after="0" w:line="360" w:lineRule="auto"/>
        <w:jc w:val="both"/>
        <w:rPr>
          <w:rFonts w:ascii="Arial" w:hAnsi="Arial" w:cs="Arial"/>
        </w:rPr>
      </w:pPr>
      <w:r w:rsidRPr="00C606A7">
        <w:rPr>
          <w:rFonts w:ascii="Arial" w:hAnsi="Arial" w:cs="Arial"/>
          <w:b/>
          <w:bCs/>
        </w:rPr>
        <w:t>Pillar 1 — Job Characteristics Model.</w:t>
      </w:r>
      <w:r w:rsidRPr="00C606A7">
        <w:rPr>
          <w:rFonts w:ascii="Arial" w:hAnsi="Arial" w:cs="Arial"/>
        </w:rPr>
        <w:t xml:space="preserve"> </w:t>
      </w:r>
      <w:r w:rsidR="006956C2" w:rsidRPr="00C606A7">
        <w:rPr>
          <w:rFonts w:ascii="Arial" w:hAnsi="Arial" w:cs="Arial"/>
        </w:rPr>
        <w:t xml:space="preserve">In the Job Characteristics Model (JCM), the theory </w:t>
      </w:r>
      <w:r w:rsidR="00DE0E54" w:rsidRPr="00C606A7">
        <w:rPr>
          <w:rFonts w:ascii="Arial" w:hAnsi="Arial" w:cs="Arial"/>
        </w:rPr>
        <w:t>recognises</w:t>
      </w:r>
      <w:r w:rsidR="006956C2" w:rsidRPr="00C606A7">
        <w:rPr>
          <w:rFonts w:ascii="Arial" w:hAnsi="Arial" w:cs="Arial"/>
        </w:rPr>
        <w:t xml:space="preserve"> five fundamental dimensions that lead to intrinsic motivation: skill variety, task identity, task significance, autonomy, and feedback. They are operationalised by Bakker and Demerouti (2017) in their authoritative review of the Job Demands-Resources (JD-R) theory</w:t>
      </w:r>
      <w:r w:rsidR="00DE0E54" w:rsidRPr="00C606A7">
        <w:rPr>
          <w:rFonts w:ascii="Arial" w:hAnsi="Arial" w:cs="Arial"/>
        </w:rPr>
        <w:t>,</w:t>
      </w:r>
      <w:r w:rsidR="006956C2" w:rsidRPr="00C606A7">
        <w:rPr>
          <w:rFonts w:ascii="Arial" w:hAnsi="Arial" w:cs="Arial"/>
        </w:rPr>
        <w:t xml:space="preserve"> which reveals that these job resources are the key to work engagement and intrinsic motivation. At HUM, graduate roles are probably defined by small task scopes in large technology delivery programmes - restricting skill range and diminishing task identity and meaning. Redesigning roles to add end-to-end project ownership, which holds engineers and analysts responsible </w:t>
      </w:r>
      <w:r w:rsidR="00DE0E54" w:rsidRPr="00C606A7">
        <w:rPr>
          <w:rFonts w:ascii="Arial" w:hAnsi="Arial" w:cs="Arial"/>
        </w:rPr>
        <w:t>for delivering</w:t>
      </w:r>
      <w:r w:rsidR="006956C2" w:rsidRPr="00C606A7">
        <w:rPr>
          <w:rFonts w:ascii="Arial" w:hAnsi="Arial" w:cs="Arial"/>
        </w:rPr>
        <w:t xml:space="preserve"> identifiable outputs between the initial design and the live deployment, restores </w:t>
      </w:r>
      <w:r w:rsidR="00DE0E54" w:rsidRPr="00C606A7">
        <w:rPr>
          <w:rFonts w:ascii="Arial" w:hAnsi="Arial" w:cs="Arial"/>
        </w:rPr>
        <w:t>all five dimensions directly</w:t>
      </w:r>
      <w:r w:rsidR="006956C2" w:rsidRPr="00C606A7">
        <w:rPr>
          <w:rFonts w:ascii="Arial" w:hAnsi="Arial" w:cs="Arial"/>
        </w:rPr>
        <w:t>. Structured feedback systems, such as data dashboards to monitor project impact and citizen outcomes, serve to counteract the feedback deficit that Bakker and Demerouti (2017) note as the key to long-term continued engagement in knowledge-intensive jobs.</w:t>
      </w:r>
    </w:p>
    <w:p w14:paraId="7E5DD5BD" w14:textId="2FE13FD6" w:rsidR="00416A09" w:rsidRPr="00C606A7" w:rsidRDefault="00416A09" w:rsidP="00C606A7">
      <w:pPr>
        <w:spacing w:after="0" w:line="360" w:lineRule="auto"/>
        <w:jc w:val="both"/>
        <w:rPr>
          <w:rFonts w:ascii="Arial" w:hAnsi="Arial" w:cs="Arial"/>
        </w:rPr>
      </w:pPr>
      <w:r w:rsidRPr="00C606A7">
        <w:rPr>
          <w:rFonts w:ascii="Arial" w:hAnsi="Arial" w:cs="Arial"/>
          <w:b/>
          <w:bCs/>
        </w:rPr>
        <w:t>Pillar 2 — Job Crafting Theory.</w:t>
      </w:r>
      <w:r w:rsidRPr="00C606A7">
        <w:rPr>
          <w:rFonts w:ascii="Arial" w:hAnsi="Arial" w:cs="Arial"/>
        </w:rPr>
        <w:t xml:space="preserve"> </w:t>
      </w:r>
      <w:r w:rsidR="006956C2" w:rsidRPr="00C606A7">
        <w:rPr>
          <w:rFonts w:ascii="Arial" w:hAnsi="Arial" w:cs="Arial"/>
        </w:rPr>
        <w:t xml:space="preserve">Whereas the JCM deals with job design that is initiated by the organisation, the job crafting theory appreciates workers as the creators of their jobs. In a cross-cultural meta-analysis, Boehnlein and Baum (2022) establish that job crafting (task, relational, and cognitive) can reliably enhance well-being and performance, although with significant cultural moderations, especially </w:t>
      </w:r>
      <w:r w:rsidR="006956C2" w:rsidRPr="00C606A7">
        <w:rPr>
          <w:rFonts w:ascii="Arial" w:hAnsi="Arial" w:cs="Arial"/>
        </w:rPr>
        <w:lastRenderedPageBreak/>
        <w:t xml:space="preserve">concerning </w:t>
      </w:r>
      <w:r w:rsidR="00DE0E54" w:rsidRPr="00C606A7">
        <w:rPr>
          <w:rFonts w:ascii="Arial" w:hAnsi="Arial" w:cs="Arial"/>
        </w:rPr>
        <w:t xml:space="preserve">the </w:t>
      </w:r>
      <w:r w:rsidR="006956C2" w:rsidRPr="00C606A7">
        <w:rPr>
          <w:rFonts w:ascii="Arial" w:hAnsi="Arial" w:cs="Arial"/>
        </w:rPr>
        <w:t>HUM workforce in London, Berlin, and Singapore. In particular, promotion-oriented crafting, by increasing the task scope and social resources, yields the most positive effects, and prevention-oriented crafting, by decreasing hindering demands, can paradoxically enhance burnout when inadequately handled. In the case of HUM, this fact justifies the introduction of orchestrated conversations into routine performance dialogues, allowing employees to broaden their roles to those areas of personal interest, develop cross-site collaborative relationships, and redefine their cognitive relationship to the urban sustainability mission of the company. Most importantly, Boehnlein and Baum (2022) warn that cultural context is a moderating factor in designing outcomes, and a global strategy should not be applied to all three HUM sites but should be differentiated. This subtlety is mostly missing in traditional job design interventions and is a significant competitive edge when well operationalised.</w:t>
      </w:r>
    </w:p>
    <w:p w14:paraId="70DDBD27" w14:textId="3EC65F15" w:rsidR="00416A09" w:rsidRPr="00C606A7" w:rsidRDefault="00416A09" w:rsidP="00C606A7">
      <w:pPr>
        <w:spacing w:after="0" w:line="360" w:lineRule="auto"/>
        <w:jc w:val="both"/>
        <w:rPr>
          <w:rFonts w:ascii="Arial" w:hAnsi="Arial" w:cs="Arial"/>
        </w:rPr>
      </w:pPr>
      <w:r w:rsidRPr="00C606A7">
        <w:rPr>
          <w:rFonts w:ascii="Arial" w:hAnsi="Arial" w:cs="Arial"/>
          <w:b/>
          <w:bCs/>
        </w:rPr>
        <w:t>Pillar 3 — Skills-Based Architecture.</w:t>
      </w:r>
      <w:r w:rsidRPr="00C606A7">
        <w:rPr>
          <w:rFonts w:ascii="Arial" w:hAnsi="Arial" w:cs="Arial"/>
        </w:rPr>
        <w:t xml:space="preserve"> </w:t>
      </w:r>
      <w:r w:rsidR="00B430A3" w:rsidRPr="00C606A7">
        <w:rPr>
          <w:rFonts w:ascii="Arial" w:hAnsi="Arial" w:cs="Arial"/>
        </w:rPr>
        <w:t>The third pillar deals with a structural constraint of fixed roles of jobs in a rapidly changing AI-enabled industry. According to Kim et al. (2025), the algorithmic era of strategic HRM demands a paradigm shift -</w:t>
      </w:r>
      <w:r w:rsidR="00DE0E54" w:rsidRPr="00C606A7">
        <w:rPr>
          <w:rFonts w:ascii="Arial" w:hAnsi="Arial" w:cs="Arial"/>
        </w:rPr>
        <w:t>from workforce</w:t>
      </w:r>
      <w:r w:rsidR="00B430A3" w:rsidRPr="00C606A7">
        <w:rPr>
          <w:rFonts w:ascii="Arial" w:hAnsi="Arial" w:cs="Arial"/>
        </w:rPr>
        <w:t xml:space="preserve"> planning by roles to skills-based talent structures, whereby individuals are assigned work according to validated competency portraits and not job titles. In the case of HUM, this would involve creating a skills taxonomy to encompass not only technical areas such as AI systems, mobility analytics, </w:t>
      </w:r>
      <w:r w:rsidR="00DE0E54" w:rsidRPr="00C606A7">
        <w:rPr>
          <w:rFonts w:ascii="Arial" w:hAnsi="Arial" w:cs="Arial"/>
        </w:rPr>
        <w:t xml:space="preserve">and </w:t>
      </w:r>
      <w:r w:rsidR="00B430A3" w:rsidRPr="00C606A7">
        <w:rPr>
          <w:rFonts w:ascii="Arial" w:hAnsi="Arial" w:cs="Arial"/>
        </w:rPr>
        <w:t xml:space="preserve">smart infrastructure, but also cross-functional skills such as stakeholder management, data literacy, and systems thinking. This taxonomy supports an internal talent marketplace so that employees can self-nominate </w:t>
      </w:r>
      <w:r w:rsidR="00DE0E54" w:rsidRPr="00C606A7">
        <w:rPr>
          <w:rFonts w:ascii="Arial" w:hAnsi="Arial" w:cs="Arial"/>
        </w:rPr>
        <w:t>for</w:t>
      </w:r>
      <w:r w:rsidR="00B430A3" w:rsidRPr="00C606A7">
        <w:rPr>
          <w:rFonts w:ascii="Arial" w:hAnsi="Arial" w:cs="Arial"/>
        </w:rPr>
        <w:t xml:space="preserve"> projects based on their developmental objectives, </w:t>
      </w:r>
      <w:r w:rsidR="00DE0E54" w:rsidRPr="00C606A7">
        <w:rPr>
          <w:rFonts w:ascii="Arial" w:hAnsi="Arial" w:cs="Arial"/>
        </w:rPr>
        <w:t xml:space="preserve">and </w:t>
      </w:r>
      <w:r w:rsidR="00B430A3" w:rsidRPr="00C606A7">
        <w:rPr>
          <w:rFonts w:ascii="Arial" w:hAnsi="Arial" w:cs="Arial"/>
        </w:rPr>
        <w:t>graduate attrition can be mitigated by developing visible internal career paths and lessening the sense that meaningful advancement must be through external mobility (Caligiuri et al., 2020).</w:t>
      </w:r>
    </w:p>
    <w:p w14:paraId="05AE6700" w14:textId="77777777" w:rsidR="00416A09" w:rsidRPr="00C606A7" w:rsidRDefault="00416A09" w:rsidP="00C606A7">
      <w:pPr>
        <w:pStyle w:val="Heading2"/>
        <w:spacing w:after="0" w:line="360" w:lineRule="auto"/>
        <w:jc w:val="both"/>
      </w:pPr>
      <w:bookmarkStart w:id="7" w:name="_Toc235186438"/>
      <w:r w:rsidRPr="00C606A7">
        <w:t>3.2 Stimulating Intrinsic Motivation and Supporting Innovation</w:t>
      </w:r>
      <w:bookmarkEnd w:id="7"/>
    </w:p>
    <w:p w14:paraId="0EB218C9" w14:textId="70B44FDB" w:rsidR="00416A09" w:rsidRPr="00C606A7" w:rsidRDefault="00B430A3" w:rsidP="00C606A7">
      <w:pPr>
        <w:spacing w:after="0" w:line="360" w:lineRule="auto"/>
        <w:jc w:val="both"/>
        <w:rPr>
          <w:rFonts w:ascii="Arial" w:hAnsi="Arial" w:cs="Arial"/>
        </w:rPr>
      </w:pPr>
      <w:r w:rsidRPr="00C606A7">
        <w:rPr>
          <w:rFonts w:ascii="Arial" w:hAnsi="Arial" w:cs="Arial"/>
        </w:rPr>
        <w:t xml:space="preserve">The suggested three-pillar architecture explicitly aims at achieving the psychological states required </w:t>
      </w:r>
      <w:r w:rsidR="00DE0E54" w:rsidRPr="00C606A7">
        <w:rPr>
          <w:rFonts w:ascii="Arial" w:hAnsi="Arial" w:cs="Arial"/>
        </w:rPr>
        <w:t>for</w:t>
      </w:r>
      <w:r w:rsidRPr="00C606A7">
        <w:rPr>
          <w:rFonts w:ascii="Arial" w:hAnsi="Arial" w:cs="Arial"/>
        </w:rPr>
        <w:t xml:space="preserve"> intrinsic motivation. In their extensive review of Self-Determination Theory (SDT) in work organisations, Deci, Olafsen and Ryan (2017) single out three fundamental psychological needs</w:t>
      </w:r>
      <w:r w:rsidR="00DE0E54" w:rsidRPr="00C606A7">
        <w:rPr>
          <w:rFonts w:ascii="Arial" w:hAnsi="Arial" w:cs="Arial"/>
        </w:rPr>
        <w:t>,</w:t>
      </w:r>
      <w:r w:rsidRPr="00C606A7">
        <w:rPr>
          <w:rFonts w:ascii="Arial" w:hAnsi="Arial" w:cs="Arial"/>
        </w:rPr>
        <w:t xml:space="preserve"> autonomy, competence, and relatedness</w:t>
      </w:r>
      <w:r w:rsidR="00DE0E54" w:rsidRPr="00C606A7">
        <w:rPr>
          <w:rFonts w:ascii="Arial" w:hAnsi="Arial" w:cs="Arial"/>
        </w:rPr>
        <w:t>,</w:t>
      </w:r>
      <w:r w:rsidRPr="00C606A7">
        <w:rPr>
          <w:rFonts w:ascii="Arial" w:hAnsi="Arial" w:cs="Arial"/>
        </w:rPr>
        <w:t xml:space="preserve"> as the universal requirements of autonomous motivation, well-being, and high sustained performance. All the pillars of the HUM proposed design respond to these needs: JCM-based role redesign enhances competence by meaningful task ownership; job crafting </w:t>
      </w:r>
      <w:r w:rsidRPr="00C606A7">
        <w:rPr>
          <w:rFonts w:ascii="Arial" w:hAnsi="Arial" w:cs="Arial"/>
        </w:rPr>
        <w:lastRenderedPageBreak/>
        <w:t>supports autonomy by employee-led role shaping; and skills-based marketplace fosters relatedness by cross-functional project work and cross-site network building.</w:t>
      </w:r>
    </w:p>
    <w:p w14:paraId="616D89D2" w14:textId="08BE7E8A" w:rsidR="00416A09" w:rsidRPr="00C606A7" w:rsidRDefault="00B430A3" w:rsidP="00C606A7">
      <w:pPr>
        <w:spacing w:after="0" w:line="360" w:lineRule="auto"/>
        <w:jc w:val="both"/>
        <w:rPr>
          <w:rFonts w:ascii="Arial" w:hAnsi="Arial" w:cs="Arial"/>
        </w:rPr>
      </w:pPr>
      <w:r w:rsidRPr="00C606A7">
        <w:rPr>
          <w:rFonts w:ascii="Arial" w:hAnsi="Arial" w:cs="Arial"/>
        </w:rPr>
        <w:t>Knight, Patterson and Dawson (2017) give meta-analytic support that job-crafting-based interventions yield reliable, but modest, increases in engagement - increases that are magnified when incorporated in a psychologically safe and supportive organisational climate. In the case of HUM, this highlights the significance of arming line managers with the ability to enable and not inhibit the design of behaviours in all three office sites. Bailey et al. (2017) also single out meaningful work and employee voice as the strongest antecedents of engagement - both facilitated by the suggested architecture through mission-linked role design and employee self-nomination in the internal talent marketplace.</w:t>
      </w:r>
    </w:p>
    <w:p w14:paraId="4FC4736F" w14:textId="50E68B2B" w:rsidR="00416A09" w:rsidRPr="00C606A7" w:rsidRDefault="00B430A3" w:rsidP="00C606A7">
      <w:pPr>
        <w:spacing w:after="0" w:line="360" w:lineRule="auto"/>
        <w:jc w:val="both"/>
        <w:rPr>
          <w:rFonts w:ascii="Arial" w:hAnsi="Arial" w:cs="Arial"/>
        </w:rPr>
      </w:pPr>
      <w:r w:rsidRPr="00C606A7">
        <w:rPr>
          <w:rFonts w:ascii="Arial" w:hAnsi="Arial" w:cs="Arial"/>
        </w:rPr>
        <w:t>The implications of the innovation are also important. The ability to create, test, and scale new solutions is a source of competitive advantage in an AI-enabled transport company. The psychological underpinning of creative risk-taking and exploratory behaviour is autonomous motivation that is promoted by the SDT-consistent job design (Deci, Olafsen and Ryan, 2017). The organisation facilitates the conditions in which high-potential graduates are not just retained but proactively fuelled by redesigning the job architecture of HUM to maximise autonomy, task significance and competency development to drive the urban mobility innovation mission.</w:t>
      </w:r>
    </w:p>
    <w:p w14:paraId="3E8D5B5E" w14:textId="77777777" w:rsidR="00416A09" w:rsidRPr="00C606A7" w:rsidRDefault="00416A09" w:rsidP="00C606A7">
      <w:pPr>
        <w:pStyle w:val="Heading1"/>
        <w:spacing w:after="0" w:line="360" w:lineRule="auto"/>
        <w:jc w:val="both"/>
      </w:pPr>
      <w:bookmarkStart w:id="8" w:name="_Toc235186439"/>
      <w:r w:rsidRPr="00C606A7">
        <w:t>4. Task C: Reflective Report</w:t>
      </w:r>
      <w:bookmarkEnd w:id="8"/>
    </w:p>
    <w:p w14:paraId="4FF6EA28" w14:textId="77777777" w:rsidR="00416A09" w:rsidRPr="00C606A7" w:rsidRDefault="00416A09" w:rsidP="00C606A7">
      <w:pPr>
        <w:pStyle w:val="Heading2"/>
        <w:spacing w:after="0" w:line="360" w:lineRule="auto"/>
        <w:jc w:val="both"/>
      </w:pPr>
      <w:bookmarkStart w:id="9" w:name="_Toc235186440"/>
      <w:r w:rsidRPr="00C606A7">
        <w:t>4.1 Using AI as a Decision-Support Tool Without Eroding Critical Human Judgement</w:t>
      </w:r>
      <w:bookmarkEnd w:id="9"/>
    </w:p>
    <w:p w14:paraId="4E81E589" w14:textId="5A1F111D" w:rsidR="00416A09" w:rsidRPr="00C606A7" w:rsidRDefault="00B430A3" w:rsidP="00C606A7">
      <w:pPr>
        <w:spacing w:after="0" w:line="360" w:lineRule="auto"/>
        <w:jc w:val="both"/>
        <w:rPr>
          <w:rFonts w:ascii="Arial" w:hAnsi="Arial" w:cs="Arial"/>
        </w:rPr>
      </w:pPr>
      <w:r w:rsidRPr="00C606A7">
        <w:rPr>
          <w:rFonts w:ascii="Arial" w:hAnsi="Arial" w:cs="Arial"/>
        </w:rPr>
        <w:t xml:space="preserve">Being an MBA student trying to build my practice as a future HR professional, I understand that artificial intelligence has great potential to improve the quality and speed of people-related decisions. I am, however, all too conscious of the fact that this potential has a lot of risk when AI is implemented blindly. As Bandara et al. (2025) illustrate, AI-based HRM systems often introduce historical biases into the algorithmic results, making them deliver decisions that </w:t>
      </w:r>
      <w:r w:rsidR="00DE0E54" w:rsidRPr="00C606A7">
        <w:rPr>
          <w:rFonts w:ascii="Arial" w:hAnsi="Arial" w:cs="Arial"/>
        </w:rPr>
        <w:t>disfavour</w:t>
      </w:r>
      <w:r w:rsidRPr="00C606A7">
        <w:rPr>
          <w:rFonts w:ascii="Arial" w:hAnsi="Arial" w:cs="Arial"/>
        </w:rPr>
        <w:t xml:space="preserve"> certain demographic groups but appear to be data-driven </w:t>
      </w:r>
      <w:r w:rsidR="00DE0E54" w:rsidRPr="00C606A7">
        <w:rPr>
          <w:rFonts w:ascii="Arial" w:hAnsi="Arial" w:cs="Arial"/>
        </w:rPr>
        <w:t>and objective</w:t>
      </w:r>
      <w:r w:rsidRPr="00C606A7">
        <w:rPr>
          <w:rFonts w:ascii="Arial" w:hAnsi="Arial" w:cs="Arial"/>
        </w:rPr>
        <w:t>. This danger is found especially in high-stakes HR practices such as recruitment, performance evaluation, and succession planning</w:t>
      </w:r>
      <w:r w:rsidR="00DE0E54" w:rsidRPr="00C606A7">
        <w:rPr>
          <w:rFonts w:ascii="Arial" w:hAnsi="Arial" w:cs="Arial"/>
        </w:rPr>
        <w:t>,</w:t>
      </w:r>
      <w:r w:rsidRPr="00C606A7">
        <w:rPr>
          <w:rFonts w:ascii="Arial" w:hAnsi="Arial" w:cs="Arial"/>
        </w:rPr>
        <w:t xml:space="preserve"> where algorithmic outcomes may supplant the situational, ethical, and relational rationale involved in making good human decisions.</w:t>
      </w:r>
    </w:p>
    <w:p w14:paraId="684F8CE9" w14:textId="66E8CE7B" w:rsidR="00416A09" w:rsidRPr="00C606A7" w:rsidRDefault="00B430A3" w:rsidP="00C606A7">
      <w:pPr>
        <w:spacing w:after="0" w:line="360" w:lineRule="auto"/>
        <w:jc w:val="both"/>
        <w:rPr>
          <w:rFonts w:ascii="Arial" w:hAnsi="Arial" w:cs="Arial"/>
        </w:rPr>
      </w:pPr>
      <w:r w:rsidRPr="00C606A7">
        <w:rPr>
          <w:rFonts w:ascii="Arial" w:hAnsi="Arial" w:cs="Arial"/>
        </w:rPr>
        <w:lastRenderedPageBreak/>
        <w:t>Leicht-Deobald et al. (2019) present a strong argument, stating that algorithm-based HR decision-making jeopardises personal integrity by simplifying complex human situations to measurable variables and sidelining the moral imagination of HR practitioners. This argument will resonate with me. I am thus determined to have AI as an augmentation tool -one that reveals patterns, points out anomalies, and speeds up analysis- but one that leaves final decision-making in human hands. Practically</w:t>
      </w:r>
      <w:r w:rsidR="00DE0E54" w:rsidRPr="00C606A7">
        <w:rPr>
          <w:rFonts w:ascii="Arial" w:hAnsi="Arial" w:cs="Arial"/>
        </w:rPr>
        <w:t>,</w:t>
      </w:r>
      <w:r w:rsidRPr="00C606A7">
        <w:rPr>
          <w:rFonts w:ascii="Arial" w:hAnsi="Arial" w:cs="Arial"/>
        </w:rPr>
        <w:t xml:space="preserve"> this implies questioning AI-generated suggestions </w:t>
      </w:r>
      <w:r w:rsidR="00DE0E54" w:rsidRPr="00C606A7">
        <w:rPr>
          <w:rFonts w:ascii="Arial" w:hAnsi="Arial" w:cs="Arial"/>
        </w:rPr>
        <w:t>sceptically</w:t>
      </w:r>
      <w:r w:rsidRPr="00C606A7">
        <w:rPr>
          <w:rFonts w:ascii="Arial" w:hAnsi="Arial" w:cs="Arial"/>
        </w:rPr>
        <w:t>, trying to determine the data inputs and the model assumptions underlying these suggestions, and proactively finding instances of cases where algorithmic outputs disagree with contextual knowledge or ethical standards. This view is supported by Bar-Gil, Ron and Czerniak (2024), who propose that ethical review processes should be integrated into the people-analytics workflows, which I would promote in my practice.</w:t>
      </w:r>
    </w:p>
    <w:p w14:paraId="4EDDC62C" w14:textId="77777777" w:rsidR="00416A09" w:rsidRPr="00C606A7" w:rsidRDefault="00416A09" w:rsidP="00C606A7">
      <w:pPr>
        <w:pStyle w:val="Heading2"/>
        <w:spacing w:after="0" w:line="360" w:lineRule="auto"/>
        <w:jc w:val="both"/>
      </w:pPr>
      <w:bookmarkStart w:id="10" w:name="_Toc235186441"/>
      <w:r w:rsidRPr="00C606A7">
        <w:t>4.2 Personal Capability Development Plan</w:t>
      </w:r>
      <w:bookmarkEnd w:id="10"/>
    </w:p>
    <w:p w14:paraId="2D0865AB" w14:textId="7DCAD5C6" w:rsidR="00416A09" w:rsidRPr="00C606A7" w:rsidRDefault="00B430A3" w:rsidP="00C606A7">
      <w:pPr>
        <w:spacing w:after="0" w:line="360" w:lineRule="auto"/>
        <w:jc w:val="both"/>
        <w:rPr>
          <w:rFonts w:ascii="Arial" w:hAnsi="Arial" w:cs="Arial"/>
        </w:rPr>
      </w:pPr>
      <w:r w:rsidRPr="00C606A7">
        <w:rPr>
          <w:rFonts w:ascii="Arial" w:hAnsi="Arial" w:cs="Arial"/>
        </w:rPr>
        <w:t xml:space="preserve">Considering the skills that will be needed to work successfully as a strategic HR professional in an AI-enabled, globally dispersed organisation like HUM, I have found four areas of development </w:t>
      </w:r>
      <w:r w:rsidR="00DE0E54" w:rsidRPr="00C606A7">
        <w:rPr>
          <w:rFonts w:ascii="Arial" w:hAnsi="Arial" w:cs="Arial"/>
        </w:rPr>
        <w:t>priority</w:t>
      </w:r>
      <w:r w:rsidRPr="00C606A7">
        <w:rPr>
          <w:rFonts w:ascii="Arial" w:hAnsi="Arial" w:cs="Arial"/>
        </w:rPr>
        <w:t>.</w:t>
      </w:r>
    </w:p>
    <w:p w14:paraId="3631293D" w14:textId="5203C7E3" w:rsidR="00416A09" w:rsidRPr="00C606A7" w:rsidRDefault="009354BE" w:rsidP="00C606A7">
      <w:pPr>
        <w:spacing w:after="0" w:line="360" w:lineRule="auto"/>
        <w:jc w:val="both"/>
        <w:rPr>
          <w:rFonts w:ascii="Arial" w:hAnsi="Arial" w:cs="Arial"/>
        </w:rPr>
      </w:pPr>
      <w:r w:rsidRPr="00C606A7">
        <w:rPr>
          <w:rFonts w:ascii="Arial" w:hAnsi="Arial" w:cs="Arial"/>
          <w:b/>
          <w:bCs/>
        </w:rPr>
        <w:t>Data literacy</w:t>
      </w:r>
      <w:r w:rsidRPr="00C606A7">
        <w:rPr>
          <w:rFonts w:ascii="Arial" w:hAnsi="Arial" w:cs="Arial"/>
        </w:rPr>
        <w:t xml:space="preserve"> is my most urgent developmental need</w:t>
      </w:r>
      <w:r w:rsidR="00B430A3" w:rsidRPr="00C606A7">
        <w:rPr>
          <w:rFonts w:ascii="Arial" w:hAnsi="Arial" w:cs="Arial"/>
        </w:rPr>
        <w:t>. Abuzaid (2024) empirically shows that data literacy moderates the presence of meaningful organisational outcomes of HR analytics</w:t>
      </w:r>
      <w:r w:rsidR="00DE0E54" w:rsidRPr="00C606A7">
        <w:rPr>
          <w:rFonts w:ascii="Arial" w:hAnsi="Arial" w:cs="Arial"/>
        </w:rPr>
        <w:t>;</w:t>
      </w:r>
      <w:r w:rsidR="00B430A3" w:rsidRPr="00C606A7">
        <w:rPr>
          <w:rFonts w:ascii="Arial" w:hAnsi="Arial" w:cs="Arial"/>
        </w:rPr>
        <w:t xml:space="preserve"> when absent, practitioners may misinterpret dashboards and make incorrect conclusions. During the next 12 months, I will seek formal training </w:t>
      </w:r>
      <w:r w:rsidR="00DE0E54" w:rsidRPr="00C606A7">
        <w:rPr>
          <w:rFonts w:ascii="Arial" w:hAnsi="Arial" w:cs="Arial"/>
        </w:rPr>
        <w:t>in</w:t>
      </w:r>
      <w:r w:rsidR="00B430A3" w:rsidRPr="00C606A7">
        <w:rPr>
          <w:rFonts w:ascii="Arial" w:hAnsi="Arial" w:cs="Arial"/>
        </w:rPr>
        <w:t xml:space="preserve"> people analytics interpretation and data visualisation tools.</w:t>
      </w:r>
    </w:p>
    <w:p w14:paraId="1707D404" w14:textId="3B6BBCB9" w:rsidR="00416A09" w:rsidRPr="00C606A7" w:rsidRDefault="00416A09" w:rsidP="00C606A7">
      <w:pPr>
        <w:spacing w:after="0" w:line="360" w:lineRule="auto"/>
        <w:jc w:val="both"/>
        <w:rPr>
          <w:rFonts w:ascii="Arial" w:hAnsi="Arial" w:cs="Arial"/>
        </w:rPr>
      </w:pPr>
      <w:r w:rsidRPr="00C606A7">
        <w:rPr>
          <w:rFonts w:ascii="Arial" w:hAnsi="Arial" w:cs="Arial"/>
          <w:b/>
          <w:bCs/>
        </w:rPr>
        <w:t>AI augmentation in HR</w:t>
      </w:r>
      <w:r w:rsidRPr="00C606A7">
        <w:rPr>
          <w:rFonts w:ascii="Arial" w:hAnsi="Arial" w:cs="Arial"/>
        </w:rPr>
        <w:t xml:space="preserve"> </w:t>
      </w:r>
      <w:r w:rsidR="00B430A3" w:rsidRPr="00C606A7">
        <w:rPr>
          <w:rFonts w:ascii="Arial" w:hAnsi="Arial" w:cs="Arial"/>
        </w:rPr>
        <w:t xml:space="preserve">involves my building working knowledge </w:t>
      </w:r>
      <w:r w:rsidR="00DE0E54" w:rsidRPr="00C606A7">
        <w:rPr>
          <w:rFonts w:ascii="Arial" w:hAnsi="Arial" w:cs="Arial"/>
        </w:rPr>
        <w:t>of</w:t>
      </w:r>
      <w:r w:rsidR="00B430A3" w:rsidRPr="00C606A7">
        <w:rPr>
          <w:rFonts w:ascii="Arial" w:hAnsi="Arial" w:cs="Arial"/>
        </w:rPr>
        <w:t xml:space="preserve"> the use of machine learning models in talent acquisition, monitoring engagement, and workforce planning. </w:t>
      </w:r>
      <w:r w:rsidR="009354BE" w:rsidRPr="00C606A7">
        <w:rPr>
          <w:rFonts w:ascii="Arial" w:hAnsi="Arial" w:cs="Arial"/>
        </w:rPr>
        <w:t>I will engage with practitioner programmes and emerging academic literature</w:t>
      </w:r>
      <w:r w:rsidR="00B430A3" w:rsidRPr="00C606A7">
        <w:rPr>
          <w:rFonts w:ascii="Arial" w:hAnsi="Arial" w:cs="Arial"/>
        </w:rPr>
        <w:t xml:space="preserve"> and critically assess capabilities and limitations (Kim et al., 2025).</w:t>
      </w:r>
    </w:p>
    <w:p w14:paraId="225D628A" w14:textId="2193CEA5" w:rsidR="00416A09" w:rsidRPr="00C606A7" w:rsidRDefault="00B430A3" w:rsidP="00C606A7">
      <w:pPr>
        <w:spacing w:after="0" w:line="360" w:lineRule="auto"/>
        <w:jc w:val="both"/>
        <w:rPr>
          <w:rFonts w:ascii="Arial" w:hAnsi="Arial" w:cs="Arial"/>
        </w:rPr>
      </w:pPr>
      <w:r w:rsidRPr="00C606A7">
        <w:rPr>
          <w:rFonts w:ascii="Arial" w:hAnsi="Arial" w:cs="Arial"/>
        </w:rPr>
        <w:t xml:space="preserve">Evidence-based HR recommendations require </w:t>
      </w:r>
      <w:r w:rsidRPr="00C606A7">
        <w:rPr>
          <w:rFonts w:ascii="Arial" w:hAnsi="Arial" w:cs="Arial"/>
          <w:b/>
          <w:bCs/>
        </w:rPr>
        <w:t>strategic influencing skills</w:t>
      </w:r>
      <w:r w:rsidRPr="00C606A7">
        <w:rPr>
          <w:rFonts w:ascii="Arial" w:hAnsi="Arial" w:cs="Arial"/>
        </w:rPr>
        <w:t xml:space="preserve"> that convert them into board-level decisions. I will improve them by means of the established practice of stakeholder engagement, training as executives, and involvement in cross-functional projects.</w:t>
      </w:r>
    </w:p>
    <w:p w14:paraId="7AB6BB7B" w14:textId="568EC4FF" w:rsidR="00416A09" w:rsidRDefault="00B430A3" w:rsidP="00C606A7">
      <w:pPr>
        <w:spacing w:after="0" w:line="360" w:lineRule="auto"/>
        <w:jc w:val="both"/>
        <w:rPr>
          <w:rFonts w:ascii="Arial" w:hAnsi="Arial" w:cs="Arial"/>
        </w:rPr>
      </w:pPr>
      <w:r w:rsidRPr="00C606A7">
        <w:rPr>
          <w:rFonts w:ascii="Arial" w:hAnsi="Arial" w:cs="Arial"/>
        </w:rPr>
        <w:t xml:space="preserve">The issue of </w:t>
      </w:r>
      <w:r w:rsidRPr="00C606A7">
        <w:rPr>
          <w:rFonts w:ascii="Arial" w:hAnsi="Arial" w:cs="Arial"/>
          <w:b/>
          <w:bCs/>
        </w:rPr>
        <w:t>global mobility awareness</w:t>
      </w:r>
      <w:r w:rsidRPr="00C606A7">
        <w:rPr>
          <w:rFonts w:ascii="Arial" w:hAnsi="Arial" w:cs="Arial"/>
        </w:rPr>
        <w:t xml:space="preserve"> is becoming a non-negotiable aspect </w:t>
      </w:r>
      <w:r w:rsidR="00DE0E54" w:rsidRPr="00C606A7">
        <w:rPr>
          <w:rFonts w:ascii="Arial" w:hAnsi="Arial" w:cs="Arial"/>
        </w:rPr>
        <w:t>for</w:t>
      </w:r>
      <w:r w:rsidRPr="00C606A7">
        <w:rPr>
          <w:rFonts w:ascii="Arial" w:hAnsi="Arial" w:cs="Arial"/>
        </w:rPr>
        <w:t xml:space="preserve"> HR professionals who serve multinational organisations. Caligiuri et al. (2020) list the following competencies of IHRM practitioners: cultural intelligence, international assignment management, and cross-border legal literacy. These capabilities will be </w:t>
      </w:r>
      <w:r w:rsidRPr="00C606A7">
        <w:rPr>
          <w:rFonts w:ascii="Arial" w:hAnsi="Arial" w:cs="Arial"/>
        </w:rPr>
        <w:lastRenderedPageBreak/>
        <w:t>developed systematically by engaging in targeted reading, international networking and exposure to cross-cultural projects.</w:t>
      </w:r>
    </w:p>
    <w:p w14:paraId="3CFFF908" w14:textId="27DC6D56" w:rsidR="00DB1874" w:rsidRPr="00791DDA" w:rsidRDefault="00DB1874" w:rsidP="00791DDA">
      <w:pPr>
        <w:rPr>
          <w:b/>
          <w:bCs/>
          <w:i/>
          <w:iCs/>
        </w:rPr>
      </w:pPr>
      <w:r w:rsidRPr="00791DDA">
        <w:rPr>
          <w:b/>
          <w:bCs/>
          <w:i/>
          <w:iCs/>
        </w:rPr>
        <w:t xml:space="preserve">Table </w:t>
      </w:r>
      <w:r w:rsidR="00E70867" w:rsidRPr="00791DDA">
        <w:rPr>
          <w:b/>
          <w:bCs/>
          <w:i/>
          <w:iCs/>
        </w:rPr>
        <w:t>2</w:t>
      </w:r>
      <w:r w:rsidRPr="00791DDA">
        <w:rPr>
          <w:b/>
          <w:bCs/>
          <w:i/>
          <w:iCs/>
        </w:rPr>
        <w:t>: Personal Capability Development Plan</w:t>
      </w:r>
    </w:p>
    <w:p w14:paraId="4301759B" w14:textId="059F7931" w:rsidR="00DB1874" w:rsidRDefault="00DB1874" w:rsidP="00DB1874">
      <w:r>
        <w:rPr>
          <w:rFonts w:ascii="Arial" w:eastAsia="Arial" w:hAnsi="Arial" w:cs="Arial"/>
          <w:i/>
          <w:iCs/>
          <w:color w:val="666666"/>
          <w:sz w:val="17"/>
          <w:szCs w:val="17"/>
        </w:rPr>
        <w:t xml:space="preserve">Task C — Section 4.2 </w:t>
      </w:r>
      <w:r w:rsidR="00716424">
        <w:rPr>
          <w:rFonts w:ascii="Arial" w:eastAsia="Arial" w:hAnsi="Arial" w:cs="Arial"/>
          <w:i/>
          <w:iCs/>
          <w:color w:val="666666"/>
          <w:sz w:val="17"/>
          <w:szCs w:val="17"/>
        </w:rPr>
        <w:t xml:space="preserve"> </w:t>
      </w:r>
      <w:r>
        <w:rPr>
          <w:rFonts w:ascii="Arial" w:eastAsia="Arial" w:hAnsi="Arial" w:cs="Arial"/>
          <w:i/>
          <w:iCs/>
          <w:color w:val="666666"/>
          <w:sz w:val="17"/>
          <w:szCs w:val="17"/>
        </w:rPr>
        <w:t xml:space="preserve"> |</w:t>
      </w:r>
      <w:r w:rsidR="00716424">
        <w:rPr>
          <w:rFonts w:ascii="Arial" w:eastAsia="Arial" w:hAnsi="Arial" w:cs="Arial"/>
          <w:i/>
          <w:iCs/>
          <w:color w:val="666666"/>
          <w:sz w:val="17"/>
          <w:szCs w:val="17"/>
        </w:rPr>
        <w:t xml:space="preserve"> </w:t>
      </w:r>
      <w:r>
        <w:rPr>
          <w:rFonts w:ascii="Arial" w:eastAsia="Arial" w:hAnsi="Arial" w:cs="Arial"/>
          <w:i/>
          <w:iCs/>
          <w:color w:val="666666"/>
          <w:sz w:val="17"/>
          <w:szCs w:val="17"/>
        </w:rPr>
        <w:t xml:space="preserve">  Source: Author's own, informed by Abuzaid (2024), Kim et al. (2025) and Caligiuri et al. (2020)</w:t>
      </w:r>
    </w:p>
    <w:tbl>
      <w:tblPr>
        <w:tblW w:w="9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42"/>
        <w:gridCol w:w="2428"/>
        <w:gridCol w:w="3205"/>
        <w:gridCol w:w="1690"/>
      </w:tblGrid>
      <w:tr w:rsidR="00DB1874" w:rsidRPr="00716424" w14:paraId="5F24FFFC" w14:textId="77777777" w:rsidTr="00716424">
        <w:trPr>
          <w:trHeight w:val="561"/>
          <w:tblHeader/>
        </w:trPr>
        <w:tc>
          <w:tcPr>
            <w:tcW w:w="1942" w:type="dxa"/>
            <w:tcBorders>
              <w:top w:val="single" w:sz="4" w:space="0" w:color="auto"/>
              <w:left w:val="single" w:sz="4" w:space="0" w:color="auto"/>
              <w:bottom w:val="single" w:sz="12" w:space="0" w:color="C9A84C"/>
              <w:right w:val="single" w:sz="6" w:space="0" w:color="3A4F6E"/>
            </w:tcBorders>
            <w:shd w:val="clear" w:color="auto" w:fill="1B2A4A"/>
            <w:tcMar>
              <w:top w:w="120" w:type="dxa"/>
              <w:left w:w="140" w:type="dxa"/>
              <w:bottom w:w="120" w:type="dxa"/>
              <w:right w:w="140" w:type="dxa"/>
            </w:tcMar>
            <w:vAlign w:val="center"/>
            <w:hideMark/>
          </w:tcPr>
          <w:p w14:paraId="2A09A303" w14:textId="77777777" w:rsidR="00DB1874" w:rsidRPr="00716424" w:rsidRDefault="00DB1874">
            <w:pPr>
              <w:jc w:val="center"/>
              <w:rPr>
                <w:sz w:val="20"/>
                <w:szCs w:val="20"/>
              </w:rPr>
            </w:pPr>
            <w:r w:rsidRPr="00716424">
              <w:rPr>
                <w:rFonts w:ascii="Arial" w:eastAsia="Arial" w:hAnsi="Arial" w:cs="Arial"/>
                <w:b/>
                <w:bCs/>
                <w:color w:val="FFFFFF"/>
                <w:spacing w:val="20"/>
                <w:sz w:val="20"/>
                <w:szCs w:val="20"/>
              </w:rPr>
              <w:t>Capability</w:t>
            </w:r>
          </w:p>
        </w:tc>
        <w:tc>
          <w:tcPr>
            <w:tcW w:w="2428" w:type="dxa"/>
            <w:tcBorders>
              <w:top w:val="single" w:sz="4" w:space="0" w:color="auto"/>
              <w:left w:val="single" w:sz="4" w:space="0" w:color="auto"/>
              <w:bottom w:val="single" w:sz="12" w:space="0" w:color="C9A84C"/>
              <w:right w:val="single" w:sz="6" w:space="0" w:color="3A4F6E"/>
            </w:tcBorders>
            <w:shd w:val="clear" w:color="auto" w:fill="1B2A4A"/>
            <w:tcMar>
              <w:top w:w="120" w:type="dxa"/>
              <w:left w:w="140" w:type="dxa"/>
              <w:bottom w:w="120" w:type="dxa"/>
              <w:right w:w="140" w:type="dxa"/>
            </w:tcMar>
            <w:vAlign w:val="center"/>
            <w:hideMark/>
          </w:tcPr>
          <w:p w14:paraId="4EBF6C8D" w14:textId="77777777" w:rsidR="00DB1874" w:rsidRPr="00716424" w:rsidRDefault="00DB1874">
            <w:pPr>
              <w:jc w:val="center"/>
              <w:rPr>
                <w:sz w:val="20"/>
                <w:szCs w:val="20"/>
              </w:rPr>
            </w:pPr>
            <w:r w:rsidRPr="00716424">
              <w:rPr>
                <w:rFonts w:ascii="Arial" w:eastAsia="Arial" w:hAnsi="Arial" w:cs="Arial"/>
                <w:b/>
                <w:bCs/>
                <w:color w:val="FFFFFF"/>
                <w:spacing w:val="20"/>
                <w:sz w:val="20"/>
                <w:szCs w:val="20"/>
              </w:rPr>
              <w:t>Current Gap</w:t>
            </w:r>
          </w:p>
        </w:tc>
        <w:tc>
          <w:tcPr>
            <w:tcW w:w="3205" w:type="dxa"/>
            <w:tcBorders>
              <w:top w:val="single" w:sz="4" w:space="0" w:color="auto"/>
              <w:left w:val="single" w:sz="4" w:space="0" w:color="auto"/>
              <w:bottom w:val="single" w:sz="12" w:space="0" w:color="C9A84C"/>
              <w:right w:val="single" w:sz="6" w:space="0" w:color="3A4F6E"/>
            </w:tcBorders>
            <w:shd w:val="clear" w:color="auto" w:fill="1B2A4A"/>
            <w:tcMar>
              <w:top w:w="120" w:type="dxa"/>
              <w:left w:w="140" w:type="dxa"/>
              <w:bottom w:w="120" w:type="dxa"/>
              <w:right w:w="140" w:type="dxa"/>
            </w:tcMar>
            <w:vAlign w:val="center"/>
            <w:hideMark/>
          </w:tcPr>
          <w:p w14:paraId="20B43B7C" w14:textId="77777777" w:rsidR="00DB1874" w:rsidRPr="00716424" w:rsidRDefault="00DB1874">
            <w:pPr>
              <w:jc w:val="center"/>
              <w:rPr>
                <w:sz w:val="20"/>
                <w:szCs w:val="20"/>
              </w:rPr>
            </w:pPr>
            <w:r w:rsidRPr="00716424">
              <w:rPr>
                <w:rFonts w:ascii="Arial" w:eastAsia="Arial" w:hAnsi="Arial" w:cs="Arial"/>
                <w:b/>
                <w:bCs/>
                <w:color w:val="FFFFFF"/>
                <w:spacing w:val="20"/>
                <w:sz w:val="20"/>
                <w:szCs w:val="20"/>
              </w:rPr>
              <w:t>Development Action</w:t>
            </w:r>
          </w:p>
        </w:tc>
        <w:tc>
          <w:tcPr>
            <w:tcW w:w="1690" w:type="dxa"/>
            <w:tcBorders>
              <w:top w:val="single" w:sz="4" w:space="0" w:color="auto"/>
              <w:left w:val="single" w:sz="4" w:space="0" w:color="auto"/>
              <w:bottom w:val="single" w:sz="12" w:space="0" w:color="C9A84C"/>
              <w:right w:val="single" w:sz="6" w:space="0" w:color="3A4F6E"/>
            </w:tcBorders>
            <w:shd w:val="clear" w:color="auto" w:fill="1B2A4A"/>
            <w:tcMar>
              <w:top w:w="120" w:type="dxa"/>
              <w:left w:w="140" w:type="dxa"/>
              <w:bottom w:w="120" w:type="dxa"/>
              <w:right w:w="140" w:type="dxa"/>
            </w:tcMar>
            <w:vAlign w:val="center"/>
            <w:hideMark/>
          </w:tcPr>
          <w:p w14:paraId="3D5ACADB" w14:textId="77777777" w:rsidR="00DB1874" w:rsidRPr="00716424" w:rsidRDefault="00DB1874">
            <w:pPr>
              <w:jc w:val="center"/>
              <w:rPr>
                <w:sz w:val="20"/>
                <w:szCs w:val="20"/>
              </w:rPr>
            </w:pPr>
            <w:r w:rsidRPr="00716424">
              <w:rPr>
                <w:rFonts w:ascii="Arial" w:eastAsia="Arial" w:hAnsi="Arial" w:cs="Arial"/>
                <w:b/>
                <w:bCs/>
                <w:color w:val="FFFFFF"/>
                <w:spacing w:val="20"/>
                <w:sz w:val="20"/>
                <w:szCs w:val="20"/>
              </w:rPr>
              <w:t>Timeline</w:t>
            </w:r>
          </w:p>
        </w:tc>
      </w:tr>
      <w:tr w:rsidR="00DB1874" w:rsidRPr="00716424" w14:paraId="0A537C2F" w14:textId="77777777" w:rsidTr="00716424">
        <w:trPr>
          <w:trHeight w:val="601"/>
        </w:trPr>
        <w:tc>
          <w:tcPr>
            <w:tcW w:w="1942" w:type="dxa"/>
            <w:tcBorders>
              <w:top w:val="single" w:sz="4" w:space="0" w:color="D6E0EE"/>
              <w:left w:val="single" w:sz="18" w:space="0" w:color="C9A84C"/>
              <w:bottom w:val="single" w:sz="4" w:space="0" w:color="D6E0EE"/>
              <w:right w:val="single" w:sz="4" w:space="0" w:color="auto"/>
            </w:tcBorders>
            <w:shd w:val="clear" w:color="auto" w:fill="EEF2F7"/>
            <w:tcMar>
              <w:top w:w="100" w:type="dxa"/>
              <w:left w:w="140" w:type="dxa"/>
              <w:bottom w:w="100" w:type="dxa"/>
              <w:right w:w="140" w:type="dxa"/>
            </w:tcMar>
            <w:vAlign w:val="center"/>
            <w:hideMark/>
          </w:tcPr>
          <w:p w14:paraId="297D4AE1" w14:textId="77777777" w:rsidR="00DB1874" w:rsidRPr="00716424" w:rsidRDefault="00DB1874">
            <w:pPr>
              <w:rPr>
                <w:sz w:val="20"/>
                <w:szCs w:val="20"/>
              </w:rPr>
            </w:pPr>
            <w:r w:rsidRPr="00716424">
              <w:rPr>
                <w:rFonts w:ascii="Arial" w:eastAsia="Arial" w:hAnsi="Arial" w:cs="Arial"/>
                <w:b/>
                <w:bCs/>
                <w:color w:val="1B2A4A"/>
                <w:sz w:val="20"/>
                <w:szCs w:val="20"/>
              </w:rPr>
              <w:t>Data Literacy</w:t>
            </w:r>
          </w:p>
        </w:tc>
        <w:tc>
          <w:tcPr>
            <w:tcW w:w="2428" w:type="dxa"/>
            <w:tcBorders>
              <w:top w:val="single" w:sz="4" w:space="0" w:color="D6E0EE"/>
              <w:left w:val="single" w:sz="4" w:space="0" w:color="D6E0EE"/>
              <w:bottom w:val="single" w:sz="4" w:space="0" w:color="D6E0EE"/>
              <w:right w:val="single" w:sz="4" w:space="0" w:color="auto"/>
            </w:tcBorders>
            <w:shd w:val="clear" w:color="auto" w:fill="EEF2F7"/>
            <w:tcMar>
              <w:top w:w="100" w:type="dxa"/>
              <w:left w:w="140" w:type="dxa"/>
              <w:bottom w:w="100" w:type="dxa"/>
              <w:right w:w="140" w:type="dxa"/>
            </w:tcMar>
            <w:vAlign w:val="center"/>
            <w:hideMark/>
          </w:tcPr>
          <w:p w14:paraId="46AE5588" w14:textId="77777777" w:rsidR="00DB1874" w:rsidRPr="00716424" w:rsidRDefault="00DB1874">
            <w:pPr>
              <w:spacing w:before="40" w:after="40"/>
              <w:rPr>
                <w:sz w:val="20"/>
                <w:szCs w:val="20"/>
              </w:rPr>
            </w:pPr>
            <w:r w:rsidRPr="00716424">
              <w:rPr>
                <w:rFonts w:ascii="Arial" w:eastAsia="Arial" w:hAnsi="Arial" w:cs="Arial"/>
                <w:color w:val="666666"/>
                <w:sz w:val="20"/>
                <w:szCs w:val="20"/>
              </w:rPr>
              <w:t>Limited ability to interpret HR analytics dashboards and draw reliable conclusions from people data.</w:t>
            </w:r>
          </w:p>
        </w:tc>
        <w:tc>
          <w:tcPr>
            <w:tcW w:w="3205" w:type="dxa"/>
            <w:tcBorders>
              <w:top w:val="single" w:sz="4" w:space="0" w:color="D6E0EE"/>
              <w:left w:val="single" w:sz="4" w:space="0" w:color="D6E0EE"/>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29141A4D" w14:textId="77777777" w:rsidR="00DB1874" w:rsidRPr="00716424" w:rsidRDefault="00DB1874">
            <w:pPr>
              <w:spacing w:before="40" w:after="40"/>
              <w:rPr>
                <w:sz w:val="20"/>
                <w:szCs w:val="20"/>
              </w:rPr>
            </w:pPr>
            <w:r w:rsidRPr="00716424">
              <w:rPr>
                <w:rFonts w:ascii="Arial" w:eastAsia="Arial" w:hAnsi="Arial" w:cs="Arial"/>
                <w:color w:val="222222"/>
                <w:sz w:val="20"/>
                <w:szCs w:val="20"/>
              </w:rPr>
              <w:t>Formal training in people analytics interpretation and data visualisation tools over the next 12 months (Abuzaid, 2024).</w:t>
            </w:r>
          </w:p>
        </w:tc>
        <w:tc>
          <w:tcPr>
            <w:tcW w:w="1690" w:type="dxa"/>
            <w:tcBorders>
              <w:top w:val="single" w:sz="4" w:space="0" w:color="D6E0EE"/>
              <w:left w:val="single" w:sz="4" w:space="0" w:color="AAAAAA"/>
              <w:bottom w:val="single" w:sz="4" w:space="0" w:color="D6E0EE"/>
              <w:right w:val="single" w:sz="18" w:space="0" w:color="0D5C6E"/>
            </w:tcBorders>
            <w:shd w:val="clear" w:color="auto" w:fill="E3F4F7"/>
            <w:tcMar>
              <w:top w:w="100" w:type="dxa"/>
              <w:left w:w="140" w:type="dxa"/>
              <w:bottom w:w="100" w:type="dxa"/>
              <w:right w:w="140" w:type="dxa"/>
            </w:tcMar>
            <w:vAlign w:val="center"/>
            <w:hideMark/>
          </w:tcPr>
          <w:p w14:paraId="0341B1ED" w14:textId="77777777" w:rsidR="00DB1874" w:rsidRPr="00716424" w:rsidRDefault="00DB1874">
            <w:pPr>
              <w:jc w:val="center"/>
              <w:rPr>
                <w:sz w:val="20"/>
                <w:szCs w:val="20"/>
              </w:rPr>
            </w:pPr>
            <w:r w:rsidRPr="00716424">
              <w:rPr>
                <w:rFonts w:ascii="Arial" w:eastAsia="Arial" w:hAnsi="Arial" w:cs="Arial"/>
                <w:b/>
                <w:bCs/>
                <w:color w:val="0D5C6E"/>
                <w:sz w:val="20"/>
                <w:szCs w:val="20"/>
              </w:rPr>
              <w:t>0–12 months</w:t>
            </w:r>
          </w:p>
        </w:tc>
      </w:tr>
      <w:tr w:rsidR="00DB1874" w:rsidRPr="00716424" w14:paraId="7EF69C16" w14:textId="77777777" w:rsidTr="00716424">
        <w:trPr>
          <w:trHeight w:val="601"/>
        </w:trPr>
        <w:tc>
          <w:tcPr>
            <w:tcW w:w="1942" w:type="dxa"/>
            <w:tcBorders>
              <w:top w:val="single" w:sz="4" w:space="0" w:color="D6E0EE"/>
              <w:left w:val="single" w:sz="18" w:space="0" w:color="C9A84C"/>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3FCFDB90" w14:textId="77777777" w:rsidR="00DB1874" w:rsidRPr="00716424" w:rsidRDefault="00DB1874">
            <w:pPr>
              <w:rPr>
                <w:sz w:val="20"/>
                <w:szCs w:val="20"/>
              </w:rPr>
            </w:pPr>
            <w:r w:rsidRPr="00716424">
              <w:rPr>
                <w:rFonts w:ascii="Arial" w:eastAsia="Arial" w:hAnsi="Arial" w:cs="Arial"/>
                <w:b/>
                <w:bCs/>
                <w:color w:val="1B2A4A"/>
                <w:sz w:val="20"/>
                <w:szCs w:val="20"/>
              </w:rPr>
              <w:t>AI Augmentation in HR</w:t>
            </w:r>
          </w:p>
        </w:tc>
        <w:tc>
          <w:tcPr>
            <w:tcW w:w="2428" w:type="dxa"/>
            <w:tcBorders>
              <w:top w:val="single" w:sz="4" w:space="0" w:color="D6E0EE"/>
              <w:left w:val="single" w:sz="4" w:space="0" w:color="D6E0EE"/>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2426EE88" w14:textId="77777777" w:rsidR="00DB1874" w:rsidRPr="00716424" w:rsidRDefault="00DB1874">
            <w:pPr>
              <w:spacing w:before="40" w:after="40"/>
              <w:rPr>
                <w:sz w:val="20"/>
                <w:szCs w:val="20"/>
              </w:rPr>
            </w:pPr>
            <w:r w:rsidRPr="00716424">
              <w:rPr>
                <w:rFonts w:ascii="Arial" w:eastAsia="Arial" w:hAnsi="Arial" w:cs="Arial"/>
                <w:color w:val="666666"/>
                <w:sz w:val="20"/>
                <w:szCs w:val="20"/>
              </w:rPr>
              <w:t>No working knowledge of how ML models are applied to talent acquisition, engagement monitoring, or workforce planning.</w:t>
            </w:r>
          </w:p>
        </w:tc>
        <w:tc>
          <w:tcPr>
            <w:tcW w:w="3205" w:type="dxa"/>
            <w:tcBorders>
              <w:top w:val="single" w:sz="4" w:space="0" w:color="D6E0EE"/>
              <w:left w:val="single" w:sz="4" w:space="0" w:color="D6E0EE"/>
              <w:bottom w:val="single" w:sz="4" w:space="0" w:color="D6E0EE"/>
              <w:right w:val="single" w:sz="4" w:space="0" w:color="auto"/>
            </w:tcBorders>
            <w:shd w:val="clear" w:color="auto" w:fill="EEF2F7"/>
            <w:tcMar>
              <w:top w:w="100" w:type="dxa"/>
              <w:left w:w="140" w:type="dxa"/>
              <w:bottom w:w="100" w:type="dxa"/>
              <w:right w:w="140" w:type="dxa"/>
            </w:tcMar>
            <w:vAlign w:val="center"/>
            <w:hideMark/>
          </w:tcPr>
          <w:p w14:paraId="0499B00D" w14:textId="77777777" w:rsidR="00DB1874" w:rsidRPr="00716424" w:rsidRDefault="00DB1874">
            <w:pPr>
              <w:spacing w:before="40" w:after="40"/>
              <w:rPr>
                <w:sz w:val="20"/>
                <w:szCs w:val="20"/>
              </w:rPr>
            </w:pPr>
            <w:r w:rsidRPr="00716424">
              <w:rPr>
                <w:rFonts w:ascii="Arial" w:eastAsia="Arial" w:hAnsi="Arial" w:cs="Arial"/>
                <w:color w:val="222222"/>
                <w:sz w:val="20"/>
                <w:szCs w:val="20"/>
              </w:rPr>
              <w:t>Engage with practitioner programmes and emerging academic literature; critically assess AI capabilities and limitations (Kim et al., 2025).</w:t>
            </w:r>
          </w:p>
        </w:tc>
        <w:tc>
          <w:tcPr>
            <w:tcW w:w="1690" w:type="dxa"/>
            <w:tcBorders>
              <w:top w:val="single" w:sz="4" w:space="0" w:color="D6E0EE"/>
              <w:left w:val="single" w:sz="4" w:space="0" w:color="AAAAAA"/>
              <w:bottom w:val="single" w:sz="4" w:space="0" w:color="D6E0EE"/>
              <w:right w:val="single" w:sz="18" w:space="0" w:color="0D5C6E"/>
            </w:tcBorders>
            <w:shd w:val="clear" w:color="auto" w:fill="E3F4F7"/>
            <w:tcMar>
              <w:top w:w="100" w:type="dxa"/>
              <w:left w:w="140" w:type="dxa"/>
              <w:bottom w:w="100" w:type="dxa"/>
              <w:right w:w="140" w:type="dxa"/>
            </w:tcMar>
            <w:vAlign w:val="center"/>
            <w:hideMark/>
          </w:tcPr>
          <w:p w14:paraId="170391A1" w14:textId="77777777" w:rsidR="00DB1874" w:rsidRPr="00716424" w:rsidRDefault="00DB1874">
            <w:pPr>
              <w:jc w:val="center"/>
              <w:rPr>
                <w:sz w:val="20"/>
                <w:szCs w:val="20"/>
              </w:rPr>
            </w:pPr>
            <w:r w:rsidRPr="00716424">
              <w:rPr>
                <w:rFonts w:ascii="Arial" w:eastAsia="Arial" w:hAnsi="Arial" w:cs="Arial"/>
                <w:b/>
                <w:bCs/>
                <w:color w:val="0D5C6E"/>
                <w:sz w:val="20"/>
                <w:szCs w:val="20"/>
              </w:rPr>
              <w:t>6–18 months</w:t>
            </w:r>
          </w:p>
        </w:tc>
      </w:tr>
      <w:tr w:rsidR="00DB1874" w:rsidRPr="00716424" w14:paraId="2DC9199F" w14:textId="77777777" w:rsidTr="00716424">
        <w:trPr>
          <w:trHeight w:val="601"/>
        </w:trPr>
        <w:tc>
          <w:tcPr>
            <w:tcW w:w="1942" w:type="dxa"/>
            <w:tcBorders>
              <w:top w:val="single" w:sz="4" w:space="0" w:color="D6E0EE"/>
              <w:left w:val="single" w:sz="18" w:space="0" w:color="C9A84C"/>
              <w:bottom w:val="single" w:sz="4" w:space="0" w:color="D6E0EE"/>
              <w:right w:val="single" w:sz="4" w:space="0" w:color="auto"/>
            </w:tcBorders>
            <w:shd w:val="clear" w:color="auto" w:fill="EEF2F7"/>
            <w:tcMar>
              <w:top w:w="100" w:type="dxa"/>
              <w:left w:w="140" w:type="dxa"/>
              <w:bottom w:w="100" w:type="dxa"/>
              <w:right w:w="140" w:type="dxa"/>
            </w:tcMar>
            <w:vAlign w:val="center"/>
            <w:hideMark/>
          </w:tcPr>
          <w:p w14:paraId="55CEE696" w14:textId="77777777" w:rsidR="00DB1874" w:rsidRPr="00716424" w:rsidRDefault="00DB1874">
            <w:pPr>
              <w:rPr>
                <w:sz w:val="20"/>
                <w:szCs w:val="20"/>
              </w:rPr>
            </w:pPr>
            <w:r w:rsidRPr="00716424">
              <w:rPr>
                <w:rFonts w:ascii="Arial" w:eastAsia="Arial" w:hAnsi="Arial" w:cs="Arial"/>
                <w:b/>
                <w:bCs/>
                <w:color w:val="1B2A4A"/>
                <w:sz w:val="20"/>
                <w:szCs w:val="20"/>
              </w:rPr>
              <w:t>Strategic Influencing Skills</w:t>
            </w:r>
          </w:p>
        </w:tc>
        <w:tc>
          <w:tcPr>
            <w:tcW w:w="2428" w:type="dxa"/>
            <w:tcBorders>
              <w:top w:val="single" w:sz="4" w:space="0" w:color="D6E0EE"/>
              <w:left w:val="single" w:sz="4" w:space="0" w:color="D6E0EE"/>
              <w:bottom w:val="single" w:sz="4" w:space="0" w:color="D6E0EE"/>
              <w:right w:val="single" w:sz="4" w:space="0" w:color="auto"/>
            </w:tcBorders>
            <w:shd w:val="clear" w:color="auto" w:fill="EEF2F7"/>
            <w:tcMar>
              <w:top w:w="100" w:type="dxa"/>
              <w:left w:w="140" w:type="dxa"/>
              <w:bottom w:w="100" w:type="dxa"/>
              <w:right w:w="140" w:type="dxa"/>
            </w:tcMar>
            <w:vAlign w:val="center"/>
            <w:hideMark/>
          </w:tcPr>
          <w:p w14:paraId="7D70E639" w14:textId="77777777" w:rsidR="00DB1874" w:rsidRPr="00716424" w:rsidRDefault="00DB1874">
            <w:pPr>
              <w:spacing w:before="40" w:after="40"/>
              <w:rPr>
                <w:sz w:val="20"/>
                <w:szCs w:val="20"/>
              </w:rPr>
            </w:pPr>
            <w:r w:rsidRPr="00716424">
              <w:rPr>
                <w:rFonts w:ascii="Arial" w:eastAsia="Arial" w:hAnsi="Arial" w:cs="Arial"/>
                <w:color w:val="666666"/>
                <w:sz w:val="20"/>
                <w:szCs w:val="20"/>
              </w:rPr>
              <w:t>Limited experience translating evidence-based HR recommendations into board-level decisions.</w:t>
            </w:r>
          </w:p>
        </w:tc>
        <w:tc>
          <w:tcPr>
            <w:tcW w:w="3205" w:type="dxa"/>
            <w:tcBorders>
              <w:top w:val="single" w:sz="4" w:space="0" w:color="D6E0EE"/>
              <w:left w:val="single" w:sz="4" w:space="0" w:color="D6E0EE"/>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6F3D21D3" w14:textId="77777777" w:rsidR="00DB1874" w:rsidRPr="00716424" w:rsidRDefault="00DB1874">
            <w:pPr>
              <w:spacing w:before="40" w:after="40"/>
              <w:rPr>
                <w:sz w:val="20"/>
                <w:szCs w:val="20"/>
              </w:rPr>
            </w:pPr>
            <w:r w:rsidRPr="00716424">
              <w:rPr>
                <w:rFonts w:ascii="Arial" w:eastAsia="Arial" w:hAnsi="Arial" w:cs="Arial"/>
                <w:color w:val="222222"/>
                <w:sz w:val="20"/>
                <w:szCs w:val="20"/>
              </w:rPr>
              <w:t>Develop through structured stakeholder engagement practice, executive communication training, and cross-functional project contribution.</w:t>
            </w:r>
          </w:p>
        </w:tc>
        <w:tc>
          <w:tcPr>
            <w:tcW w:w="1690" w:type="dxa"/>
            <w:tcBorders>
              <w:top w:val="single" w:sz="4" w:space="0" w:color="D6E0EE"/>
              <w:left w:val="single" w:sz="4" w:space="0" w:color="AAAAAA"/>
              <w:bottom w:val="single" w:sz="4" w:space="0" w:color="D6E0EE"/>
              <w:right w:val="single" w:sz="18" w:space="0" w:color="0D5C6E"/>
            </w:tcBorders>
            <w:shd w:val="clear" w:color="auto" w:fill="E3F4F7"/>
            <w:tcMar>
              <w:top w:w="100" w:type="dxa"/>
              <w:left w:w="140" w:type="dxa"/>
              <w:bottom w:w="100" w:type="dxa"/>
              <w:right w:w="140" w:type="dxa"/>
            </w:tcMar>
            <w:vAlign w:val="center"/>
            <w:hideMark/>
          </w:tcPr>
          <w:p w14:paraId="17478514" w14:textId="77777777" w:rsidR="00DB1874" w:rsidRPr="00716424" w:rsidRDefault="00DB1874">
            <w:pPr>
              <w:jc w:val="center"/>
              <w:rPr>
                <w:sz w:val="20"/>
                <w:szCs w:val="20"/>
              </w:rPr>
            </w:pPr>
            <w:r w:rsidRPr="00716424">
              <w:rPr>
                <w:rFonts w:ascii="Arial" w:eastAsia="Arial" w:hAnsi="Arial" w:cs="Arial"/>
                <w:b/>
                <w:bCs/>
                <w:color w:val="0D5C6E"/>
                <w:sz w:val="20"/>
                <w:szCs w:val="20"/>
              </w:rPr>
              <w:t>0–12 months</w:t>
            </w:r>
          </w:p>
        </w:tc>
      </w:tr>
      <w:tr w:rsidR="00DB1874" w:rsidRPr="00716424" w14:paraId="3CFC4496" w14:textId="77777777" w:rsidTr="00716424">
        <w:trPr>
          <w:trHeight w:val="601"/>
        </w:trPr>
        <w:tc>
          <w:tcPr>
            <w:tcW w:w="1942" w:type="dxa"/>
            <w:tcBorders>
              <w:top w:val="single" w:sz="4" w:space="0" w:color="D6E0EE"/>
              <w:left w:val="single" w:sz="18" w:space="0" w:color="C9A84C"/>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16E8BBEF" w14:textId="77777777" w:rsidR="00DB1874" w:rsidRPr="00716424" w:rsidRDefault="00DB1874">
            <w:pPr>
              <w:rPr>
                <w:sz w:val="20"/>
                <w:szCs w:val="20"/>
              </w:rPr>
            </w:pPr>
            <w:r w:rsidRPr="00716424">
              <w:rPr>
                <w:rFonts w:ascii="Arial" w:eastAsia="Arial" w:hAnsi="Arial" w:cs="Arial"/>
                <w:b/>
                <w:bCs/>
                <w:color w:val="1B2A4A"/>
                <w:sz w:val="20"/>
                <w:szCs w:val="20"/>
              </w:rPr>
              <w:t>Global Mobility Awareness</w:t>
            </w:r>
          </w:p>
        </w:tc>
        <w:tc>
          <w:tcPr>
            <w:tcW w:w="2428" w:type="dxa"/>
            <w:tcBorders>
              <w:top w:val="single" w:sz="4" w:space="0" w:color="D6E0EE"/>
              <w:left w:val="single" w:sz="4" w:space="0" w:color="D6E0EE"/>
              <w:bottom w:val="single" w:sz="4" w:space="0" w:color="D6E0EE"/>
              <w:right w:val="single" w:sz="4" w:space="0" w:color="auto"/>
            </w:tcBorders>
            <w:shd w:val="clear" w:color="auto" w:fill="FFFFFF"/>
            <w:tcMar>
              <w:top w:w="100" w:type="dxa"/>
              <w:left w:w="140" w:type="dxa"/>
              <w:bottom w:w="100" w:type="dxa"/>
              <w:right w:w="140" w:type="dxa"/>
            </w:tcMar>
            <w:vAlign w:val="center"/>
            <w:hideMark/>
          </w:tcPr>
          <w:p w14:paraId="797E8B20" w14:textId="77777777" w:rsidR="00DB1874" w:rsidRPr="00716424" w:rsidRDefault="00DB1874">
            <w:pPr>
              <w:spacing w:before="40" w:after="40"/>
              <w:rPr>
                <w:sz w:val="20"/>
                <w:szCs w:val="20"/>
              </w:rPr>
            </w:pPr>
            <w:r w:rsidRPr="00716424">
              <w:rPr>
                <w:rFonts w:ascii="Arial" w:eastAsia="Arial" w:hAnsi="Arial" w:cs="Arial"/>
                <w:color w:val="666666"/>
                <w:sz w:val="20"/>
                <w:szCs w:val="20"/>
              </w:rPr>
              <w:t>No direct IHRM experience across multi-country or cross-border legal contexts.</w:t>
            </w:r>
          </w:p>
        </w:tc>
        <w:tc>
          <w:tcPr>
            <w:tcW w:w="3205" w:type="dxa"/>
            <w:tcBorders>
              <w:top w:val="single" w:sz="4" w:space="0" w:color="D6E0EE"/>
              <w:left w:val="single" w:sz="4" w:space="0" w:color="D6E0EE"/>
              <w:bottom w:val="single" w:sz="4" w:space="0" w:color="D6E0EE"/>
              <w:right w:val="single" w:sz="4" w:space="0" w:color="auto"/>
            </w:tcBorders>
            <w:shd w:val="clear" w:color="auto" w:fill="EEF2F7"/>
            <w:tcMar>
              <w:top w:w="100" w:type="dxa"/>
              <w:left w:w="140" w:type="dxa"/>
              <w:bottom w:w="100" w:type="dxa"/>
              <w:right w:w="140" w:type="dxa"/>
            </w:tcMar>
            <w:vAlign w:val="center"/>
            <w:hideMark/>
          </w:tcPr>
          <w:p w14:paraId="06AC3986" w14:textId="77777777" w:rsidR="00DB1874" w:rsidRPr="00716424" w:rsidRDefault="00DB1874">
            <w:pPr>
              <w:spacing w:before="40" w:after="40"/>
              <w:rPr>
                <w:sz w:val="20"/>
                <w:szCs w:val="20"/>
              </w:rPr>
            </w:pPr>
            <w:r w:rsidRPr="00716424">
              <w:rPr>
                <w:rFonts w:ascii="Arial" w:eastAsia="Arial" w:hAnsi="Arial" w:cs="Arial"/>
                <w:color w:val="222222"/>
                <w:sz w:val="20"/>
                <w:szCs w:val="20"/>
              </w:rPr>
              <w:t>Targeted reading, international networking, and cross-cultural project exposure to build cultural intelligence and IHRM competency (Caligiuri et al., 2020).</w:t>
            </w:r>
          </w:p>
        </w:tc>
        <w:tc>
          <w:tcPr>
            <w:tcW w:w="1690" w:type="dxa"/>
            <w:tcBorders>
              <w:top w:val="single" w:sz="4" w:space="0" w:color="D6E0EE"/>
              <w:left w:val="single" w:sz="4" w:space="0" w:color="AAAAAA"/>
              <w:bottom w:val="single" w:sz="4" w:space="0" w:color="D6E0EE"/>
              <w:right w:val="single" w:sz="18" w:space="0" w:color="0D5C6E"/>
            </w:tcBorders>
            <w:shd w:val="clear" w:color="auto" w:fill="E3F4F7"/>
            <w:tcMar>
              <w:top w:w="100" w:type="dxa"/>
              <w:left w:w="140" w:type="dxa"/>
              <w:bottom w:w="100" w:type="dxa"/>
              <w:right w:w="140" w:type="dxa"/>
            </w:tcMar>
            <w:vAlign w:val="center"/>
            <w:hideMark/>
          </w:tcPr>
          <w:p w14:paraId="18277691" w14:textId="77777777" w:rsidR="00DB1874" w:rsidRPr="00716424" w:rsidRDefault="00DB1874">
            <w:pPr>
              <w:jc w:val="center"/>
              <w:rPr>
                <w:sz w:val="20"/>
                <w:szCs w:val="20"/>
              </w:rPr>
            </w:pPr>
            <w:r w:rsidRPr="00716424">
              <w:rPr>
                <w:rFonts w:ascii="Arial" w:eastAsia="Arial" w:hAnsi="Arial" w:cs="Arial"/>
                <w:b/>
                <w:bCs/>
                <w:color w:val="0D5C6E"/>
                <w:sz w:val="20"/>
                <w:szCs w:val="20"/>
              </w:rPr>
              <w:t>12–24 months</w:t>
            </w:r>
          </w:p>
        </w:tc>
      </w:tr>
    </w:tbl>
    <w:p w14:paraId="34DFF2E7" w14:textId="4DAC5205" w:rsidR="00DB1874" w:rsidRDefault="00DB1874" w:rsidP="00AE45C9">
      <w:pPr>
        <w:spacing w:before="100"/>
        <w:rPr>
          <w:sz w:val="20"/>
          <w:szCs w:val="20"/>
        </w:rPr>
      </w:pPr>
    </w:p>
    <w:p w14:paraId="0DA7241C" w14:textId="77777777" w:rsidR="00416A09" w:rsidRPr="00C606A7" w:rsidRDefault="00416A09" w:rsidP="00C606A7">
      <w:pPr>
        <w:pStyle w:val="Heading1"/>
        <w:spacing w:after="0" w:line="360" w:lineRule="auto"/>
        <w:jc w:val="both"/>
      </w:pPr>
      <w:bookmarkStart w:id="11" w:name="_Toc235186442"/>
      <w:r w:rsidRPr="00C606A7">
        <w:t>5. Conclusion</w:t>
      </w:r>
      <w:bookmarkEnd w:id="11"/>
    </w:p>
    <w:p w14:paraId="2F73AB41" w14:textId="03031A6E" w:rsidR="00416A09" w:rsidRPr="00C606A7" w:rsidRDefault="00B430A3" w:rsidP="00C606A7">
      <w:pPr>
        <w:spacing w:after="0" w:line="360" w:lineRule="auto"/>
        <w:jc w:val="both"/>
        <w:rPr>
          <w:rFonts w:ascii="Arial" w:hAnsi="Arial" w:cs="Arial"/>
        </w:rPr>
      </w:pPr>
      <w:r w:rsidRPr="00C606A7">
        <w:rPr>
          <w:rFonts w:ascii="Arial" w:hAnsi="Arial" w:cs="Arial"/>
        </w:rPr>
        <w:t xml:space="preserve">This report has developed a tailored Human Capital Architecture to deal with the three key organisational challenges facing HUM. A strategic socialisation model (3-stage) is used to tackle the 8-month ramp-up and psychological contract violation causing graduate attrition. The motivational conditions that require lasting engagement and innovation are built through an integrated job design strategy that involves the combination of JCM principles, job crafting, and skills-based architecture. An AI </w:t>
      </w:r>
      <w:r w:rsidRPr="00C606A7">
        <w:rPr>
          <w:rFonts w:ascii="Arial" w:hAnsi="Arial" w:cs="Arial"/>
        </w:rPr>
        <w:lastRenderedPageBreak/>
        <w:t>reflective capability development plan places AI as a responsible augmentation tool in future HR practice. Collectively, these interventions position HUM to achieve a high-performing, committed workforce that can drive its urban mobility mission at scale.</w:t>
      </w:r>
    </w:p>
    <w:p w14:paraId="751BC1CB" w14:textId="77777777" w:rsidR="00416A09" w:rsidRPr="00C606A7" w:rsidRDefault="00416A09" w:rsidP="00C606A7">
      <w:pPr>
        <w:spacing w:after="0" w:line="360" w:lineRule="auto"/>
        <w:jc w:val="both"/>
        <w:rPr>
          <w:rFonts w:ascii="Arial" w:hAnsi="Arial" w:cs="Arial"/>
        </w:rPr>
      </w:pPr>
      <w:r w:rsidRPr="00C606A7">
        <w:rPr>
          <w:rFonts w:ascii="Arial" w:hAnsi="Arial" w:cs="Arial"/>
        </w:rPr>
        <w:br w:type="page"/>
      </w:r>
    </w:p>
    <w:p w14:paraId="298140AA" w14:textId="4CEFE8E6" w:rsidR="00416A09" w:rsidRPr="00C606A7" w:rsidRDefault="00416A09" w:rsidP="00C606A7">
      <w:pPr>
        <w:pStyle w:val="Heading1"/>
        <w:spacing w:after="0" w:line="360" w:lineRule="auto"/>
        <w:jc w:val="both"/>
      </w:pPr>
      <w:bookmarkStart w:id="12" w:name="_Toc235186443"/>
      <w:r w:rsidRPr="00C606A7">
        <w:lastRenderedPageBreak/>
        <w:t>REFERENCE LIST</w:t>
      </w:r>
      <w:bookmarkEnd w:id="12"/>
    </w:p>
    <w:p w14:paraId="5E9A79AC" w14:textId="77777777" w:rsidR="00416A09" w:rsidRPr="00C606A7" w:rsidRDefault="00416A09" w:rsidP="002C2222">
      <w:pPr>
        <w:spacing w:after="0" w:line="360" w:lineRule="auto"/>
        <w:rPr>
          <w:rFonts w:ascii="Arial" w:hAnsi="Arial" w:cs="Arial"/>
        </w:rPr>
      </w:pPr>
      <w:r w:rsidRPr="00C606A7">
        <w:rPr>
          <w:rFonts w:ascii="Arial" w:hAnsi="Arial" w:cs="Arial"/>
        </w:rPr>
        <w:t xml:space="preserve">Abuzaid, A.N. (2024) 'Examining the moderating role of data literacy in the relationship between human resource analytics and employee innovative behavior', </w:t>
      </w:r>
      <w:r w:rsidRPr="00C606A7">
        <w:rPr>
          <w:rFonts w:ascii="Arial" w:hAnsi="Arial" w:cs="Arial"/>
          <w:i/>
          <w:iCs/>
        </w:rPr>
        <w:t>International Journal of Data and Network Science</w:t>
      </w:r>
      <w:r w:rsidRPr="00C606A7">
        <w:rPr>
          <w:rFonts w:ascii="Arial" w:hAnsi="Arial" w:cs="Arial"/>
        </w:rPr>
        <w:t>, 8(3), pp. 1415–1428.</w:t>
      </w:r>
    </w:p>
    <w:p w14:paraId="673A9300" w14:textId="77777777" w:rsidR="00416A09" w:rsidRPr="00C606A7" w:rsidRDefault="00416A09" w:rsidP="002C2222">
      <w:pPr>
        <w:spacing w:after="0" w:line="360" w:lineRule="auto"/>
        <w:rPr>
          <w:rFonts w:ascii="Arial" w:hAnsi="Arial" w:cs="Arial"/>
        </w:rPr>
      </w:pPr>
      <w:r w:rsidRPr="00C606A7">
        <w:rPr>
          <w:rFonts w:ascii="Arial" w:hAnsi="Arial" w:cs="Arial"/>
        </w:rPr>
        <w:t xml:space="preserve">Bailey, C., Madden, A., Alfes, K. and Fletcher, L. (2017) 'The meaning, antecedents and outcomes of employee engagement: a narrative synthesis', </w:t>
      </w:r>
      <w:r w:rsidRPr="00C606A7">
        <w:rPr>
          <w:rFonts w:ascii="Arial" w:hAnsi="Arial" w:cs="Arial"/>
          <w:i/>
          <w:iCs/>
        </w:rPr>
        <w:t>International Journal of Management Reviews</w:t>
      </w:r>
      <w:r w:rsidRPr="00C606A7">
        <w:rPr>
          <w:rFonts w:ascii="Arial" w:hAnsi="Arial" w:cs="Arial"/>
        </w:rPr>
        <w:t>, 19(1), pp. 31–53.</w:t>
      </w:r>
    </w:p>
    <w:p w14:paraId="4D2646D5" w14:textId="77777777" w:rsidR="00416A09" w:rsidRPr="00C606A7" w:rsidRDefault="00416A09" w:rsidP="002C2222">
      <w:pPr>
        <w:spacing w:after="0" w:line="360" w:lineRule="auto"/>
        <w:rPr>
          <w:rFonts w:ascii="Arial" w:hAnsi="Arial" w:cs="Arial"/>
        </w:rPr>
      </w:pPr>
      <w:r w:rsidRPr="00C606A7">
        <w:rPr>
          <w:rFonts w:ascii="Arial" w:hAnsi="Arial" w:cs="Arial"/>
        </w:rPr>
        <w:t xml:space="preserve">Bakker, A.B. and Demerouti, E. (2017) 'Job demands–resources theory: taking stock and looking forward', </w:t>
      </w:r>
      <w:r w:rsidRPr="00C606A7">
        <w:rPr>
          <w:rFonts w:ascii="Arial" w:hAnsi="Arial" w:cs="Arial"/>
          <w:i/>
          <w:iCs/>
        </w:rPr>
        <w:t>Journal of Occupational Health Psychology</w:t>
      </w:r>
      <w:r w:rsidRPr="00C606A7">
        <w:rPr>
          <w:rFonts w:ascii="Arial" w:hAnsi="Arial" w:cs="Arial"/>
        </w:rPr>
        <w:t>, 22(3), pp. 273–285.</w:t>
      </w:r>
    </w:p>
    <w:p w14:paraId="50783F6E" w14:textId="77777777" w:rsidR="00416A09" w:rsidRPr="00C606A7" w:rsidRDefault="00416A09" w:rsidP="002C2222">
      <w:pPr>
        <w:spacing w:after="0" w:line="360" w:lineRule="auto"/>
        <w:rPr>
          <w:rFonts w:ascii="Arial" w:hAnsi="Arial" w:cs="Arial"/>
        </w:rPr>
      </w:pPr>
      <w:r w:rsidRPr="00C606A7">
        <w:rPr>
          <w:rFonts w:ascii="Arial" w:hAnsi="Arial" w:cs="Arial"/>
        </w:rPr>
        <w:t xml:space="preserve">Bandara, I. et al. (2025) 'Addressing algorithmic bias in AI-driven HRM systems: implications for strategic HRM effectiveness', </w:t>
      </w:r>
      <w:r w:rsidRPr="00C606A7">
        <w:rPr>
          <w:rFonts w:ascii="Arial" w:hAnsi="Arial" w:cs="Arial"/>
          <w:i/>
          <w:iCs/>
        </w:rPr>
        <w:t>Human Resource Management Journal</w:t>
      </w:r>
      <w:r w:rsidRPr="00C606A7">
        <w:rPr>
          <w:rFonts w:ascii="Arial" w:hAnsi="Arial" w:cs="Arial"/>
        </w:rPr>
        <w:t>, 35(4), pp. 1047–1063.</w:t>
      </w:r>
    </w:p>
    <w:p w14:paraId="302647F0" w14:textId="77777777" w:rsidR="00416A09" w:rsidRPr="00C606A7" w:rsidRDefault="00416A09" w:rsidP="002C2222">
      <w:pPr>
        <w:spacing w:after="0" w:line="360" w:lineRule="auto"/>
        <w:rPr>
          <w:rFonts w:ascii="Arial" w:hAnsi="Arial" w:cs="Arial"/>
        </w:rPr>
      </w:pPr>
      <w:r w:rsidRPr="00C606A7">
        <w:rPr>
          <w:rFonts w:ascii="Arial" w:hAnsi="Arial" w:cs="Arial"/>
        </w:rPr>
        <w:t xml:space="preserve">Bar-Gil, O., Ron, T. and Czerniak, O. (2024) 'AI for the people? Embedding AI ethics in HR and people analytics projects', </w:t>
      </w:r>
      <w:r w:rsidRPr="00C606A7">
        <w:rPr>
          <w:rFonts w:ascii="Arial" w:hAnsi="Arial" w:cs="Arial"/>
          <w:i/>
          <w:iCs/>
        </w:rPr>
        <w:t>Technology in Society</w:t>
      </w:r>
      <w:r w:rsidRPr="00C606A7">
        <w:rPr>
          <w:rFonts w:ascii="Arial" w:hAnsi="Arial" w:cs="Arial"/>
        </w:rPr>
        <w:t>, 77, 102527.</w:t>
      </w:r>
    </w:p>
    <w:p w14:paraId="47A28805" w14:textId="77777777" w:rsidR="00416A09" w:rsidRPr="00C606A7" w:rsidRDefault="00416A09" w:rsidP="002C2222">
      <w:pPr>
        <w:spacing w:after="0" w:line="360" w:lineRule="auto"/>
        <w:rPr>
          <w:rFonts w:ascii="Arial" w:hAnsi="Arial" w:cs="Arial"/>
        </w:rPr>
      </w:pPr>
      <w:r w:rsidRPr="00C606A7">
        <w:rPr>
          <w:rFonts w:ascii="Arial" w:hAnsi="Arial" w:cs="Arial"/>
        </w:rPr>
        <w:t xml:space="preserve">Baruch, Y. and Rousseau, D.M. (2019) 'Integrating psychological contracts and ecosystems in career studies and management', </w:t>
      </w:r>
      <w:r w:rsidRPr="00C606A7">
        <w:rPr>
          <w:rFonts w:ascii="Arial" w:hAnsi="Arial" w:cs="Arial"/>
          <w:i/>
          <w:iCs/>
        </w:rPr>
        <w:t>Academy of Management Annals</w:t>
      </w:r>
      <w:r w:rsidRPr="00C606A7">
        <w:rPr>
          <w:rFonts w:ascii="Arial" w:hAnsi="Arial" w:cs="Arial"/>
        </w:rPr>
        <w:t>, 13(1), pp. 84–111.</w:t>
      </w:r>
    </w:p>
    <w:p w14:paraId="41490CBF" w14:textId="0D80DFD8" w:rsidR="00416A09" w:rsidRPr="00C606A7" w:rsidRDefault="00416A09" w:rsidP="002C2222">
      <w:pPr>
        <w:spacing w:after="0" w:line="360" w:lineRule="auto"/>
        <w:rPr>
          <w:rFonts w:ascii="Arial" w:hAnsi="Arial" w:cs="Arial"/>
        </w:rPr>
      </w:pPr>
      <w:r w:rsidRPr="00C606A7">
        <w:rPr>
          <w:rFonts w:ascii="Arial" w:hAnsi="Arial" w:cs="Arial"/>
        </w:rPr>
        <w:t>Bauer, T.N., Erdogan, B., Ellis, A.M., Truxillo, D.M., Brady, G.M. and Bodner, T. (2025</w:t>
      </w:r>
      <w:r w:rsidR="000A3472" w:rsidRPr="00C606A7">
        <w:rPr>
          <w:rFonts w:ascii="Arial" w:hAnsi="Arial" w:cs="Arial"/>
        </w:rPr>
        <w:t>a</w:t>
      </w:r>
      <w:r w:rsidRPr="00C606A7">
        <w:rPr>
          <w:rFonts w:ascii="Arial" w:hAnsi="Arial" w:cs="Arial"/>
        </w:rPr>
        <w:t xml:space="preserve">) 'New horizons for newcomer organizational socialization: a review, meta-analysis, and future research directions', </w:t>
      </w:r>
      <w:r w:rsidRPr="00C606A7">
        <w:rPr>
          <w:rFonts w:ascii="Arial" w:hAnsi="Arial" w:cs="Arial"/>
          <w:i/>
          <w:iCs/>
        </w:rPr>
        <w:t>Journal of Management</w:t>
      </w:r>
      <w:r w:rsidRPr="00C606A7">
        <w:rPr>
          <w:rFonts w:ascii="Arial" w:hAnsi="Arial" w:cs="Arial"/>
        </w:rPr>
        <w:t>, 51(1), pp. 344–382.</w:t>
      </w:r>
    </w:p>
    <w:p w14:paraId="2A7AC891" w14:textId="24180AC2" w:rsidR="00416A09" w:rsidRPr="00C606A7" w:rsidRDefault="00416A09" w:rsidP="002C2222">
      <w:pPr>
        <w:spacing w:after="0" w:line="360" w:lineRule="auto"/>
        <w:rPr>
          <w:rFonts w:ascii="Arial" w:hAnsi="Arial" w:cs="Arial"/>
        </w:rPr>
      </w:pPr>
      <w:r w:rsidRPr="00C606A7">
        <w:rPr>
          <w:rFonts w:ascii="Arial" w:hAnsi="Arial" w:cs="Arial"/>
        </w:rPr>
        <w:t>Bauer, T.N. et al. (2025</w:t>
      </w:r>
      <w:r w:rsidR="000A3472" w:rsidRPr="00C606A7">
        <w:rPr>
          <w:rFonts w:ascii="Arial" w:hAnsi="Arial" w:cs="Arial"/>
        </w:rPr>
        <w:t>b</w:t>
      </w:r>
      <w:r w:rsidRPr="00C606A7">
        <w:rPr>
          <w:rFonts w:ascii="Arial" w:hAnsi="Arial" w:cs="Arial"/>
        </w:rPr>
        <w:t xml:space="preserve">) 'The evolving future of work: implications for newcomer adaptability and connectivity during organizational socialization', </w:t>
      </w:r>
      <w:r w:rsidRPr="00C606A7">
        <w:rPr>
          <w:rFonts w:ascii="Arial" w:hAnsi="Arial" w:cs="Arial"/>
          <w:i/>
          <w:iCs/>
        </w:rPr>
        <w:t>Human Resource Management</w:t>
      </w:r>
      <w:r w:rsidRPr="00C606A7">
        <w:rPr>
          <w:rFonts w:ascii="Arial" w:hAnsi="Arial" w:cs="Arial"/>
        </w:rPr>
        <w:t>, 64(6), pp. 1651–1668.</w:t>
      </w:r>
    </w:p>
    <w:p w14:paraId="436D1999" w14:textId="77777777" w:rsidR="00416A09" w:rsidRPr="00C606A7" w:rsidRDefault="00416A09" w:rsidP="002C2222">
      <w:pPr>
        <w:spacing w:after="0" w:line="360" w:lineRule="auto"/>
        <w:rPr>
          <w:rFonts w:ascii="Arial" w:hAnsi="Arial" w:cs="Arial"/>
        </w:rPr>
      </w:pPr>
      <w:r w:rsidRPr="00C606A7">
        <w:rPr>
          <w:rFonts w:ascii="Arial" w:hAnsi="Arial" w:cs="Arial"/>
        </w:rPr>
        <w:t xml:space="preserve">Boehnlein, P. and Baum, M. (2022) 'Does job crafting always lead to employee well-being and performance? Meta-analytical evidence on the moderating role of societal culture', </w:t>
      </w:r>
      <w:r w:rsidRPr="00C606A7">
        <w:rPr>
          <w:rFonts w:ascii="Arial" w:hAnsi="Arial" w:cs="Arial"/>
          <w:i/>
          <w:iCs/>
        </w:rPr>
        <w:t>The International Journal of Human Resource Management</w:t>
      </w:r>
      <w:r w:rsidRPr="00C606A7">
        <w:rPr>
          <w:rFonts w:ascii="Arial" w:hAnsi="Arial" w:cs="Arial"/>
        </w:rPr>
        <w:t>, 33(4), pp. 647–685.</w:t>
      </w:r>
    </w:p>
    <w:p w14:paraId="4B7BE1E4" w14:textId="77777777" w:rsidR="00416A09" w:rsidRPr="00C606A7" w:rsidRDefault="00416A09" w:rsidP="002C2222">
      <w:pPr>
        <w:spacing w:after="0" w:line="360" w:lineRule="auto"/>
        <w:rPr>
          <w:rFonts w:ascii="Arial" w:hAnsi="Arial" w:cs="Arial"/>
        </w:rPr>
      </w:pPr>
      <w:r w:rsidRPr="00C606A7">
        <w:rPr>
          <w:rFonts w:ascii="Arial" w:hAnsi="Arial" w:cs="Arial"/>
        </w:rPr>
        <w:t xml:space="preserve">Caligiuri, P., De Cieri, H., </w:t>
      </w:r>
      <w:proofErr w:type="spellStart"/>
      <w:r w:rsidRPr="00C606A7">
        <w:rPr>
          <w:rFonts w:ascii="Arial" w:hAnsi="Arial" w:cs="Arial"/>
        </w:rPr>
        <w:t>Minbaeva</w:t>
      </w:r>
      <w:proofErr w:type="spellEnd"/>
      <w:r w:rsidRPr="00C606A7">
        <w:rPr>
          <w:rFonts w:ascii="Arial" w:hAnsi="Arial" w:cs="Arial"/>
        </w:rPr>
        <w:t xml:space="preserve">, D., Verbeke, A. and Zimmermann, A. (2020) 'International HRM insights for navigating the COVID-19 pandemic: implications for future research and practice', </w:t>
      </w:r>
      <w:r w:rsidRPr="00C606A7">
        <w:rPr>
          <w:rFonts w:ascii="Arial" w:hAnsi="Arial" w:cs="Arial"/>
          <w:i/>
          <w:iCs/>
        </w:rPr>
        <w:t>Journal of International Business Studies</w:t>
      </w:r>
      <w:r w:rsidRPr="00C606A7">
        <w:rPr>
          <w:rFonts w:ascii="Arial" w:hAnsi="Arial" w:cs="Arial"/>
        </w:rPr>
        <w:t>, 51(5), pp. 697–713.</w:t>
      </w:r>
    </w:p>
    <w:p w14:paraId="6A95C377" w14:textId="77777777" w:rsidR="00416A09" w:rsidRPr="00C606A7" w:rsidRDefault="00416A09" w:rsidP="002C2222">
      <w:pPr>
        <w:spacing w:after="0" w:line="360" w:lineRule="auto"/>
        <w:rPr>
          <w:rFonts w:ascii="Arial" w:hAnsi="Arial" w:cs="Arial"/>
        </w:rPr>
      </w:pPr>
      <w:r w:rsidRPr="00C606A7">
        <w:rPr>
          <w:rFonts w:ascii="Arial" w:hAnsi="Arial" w:cs="Arial"/>
        </w:rPr>
        <w:lastRenderedPageBreak/>
        <w:t xml:space="preserve">Deci, E.L., Olafsen, A.H. and Ryan, R.M. (2017) 'Self-determination theory in work organizations: the state of a science', </w:t>
      </w:r>
      <w:r w:rsidRPr="00C606A7">
        <w:rPr>
          <w:rFonts w:ascii="Arial" w:hAnsi="Arial" w:cs="Arial"/>
          <w:i/>
          <w:iCs/>
        </w:rPr>
        <w:t>Annual Review of Organizational Psychology and Organizational Behavior</w:t>
      </w:r>
      <w:r w:rsidRPr="00C606A7">
        <w:rPr>
          <w:rFonts w:ascii="Arial" w:hAnsi="Arial" w:cs="Arial"/>
        </w:rPr>
        <w:t>, 4(1), pp. 19–43.</w:t>
      </w:r>
    </w:p>
    <w:p w14:paraId="0E788BB1" w14:textId="77777777" w:rsidR="00416A09" w:rsidRPr="00C606A7" w:rsidRDefault="00416A09" w:rsidP="002C2222">
      <w:pPr>
        <w:spacing w:after="0" w:line="360" w:lineRule="auto"/>
        <w:rPr>
          <w:rFonts w:ascii="Arial" w:hAnsi="Arial" w:cs="Arial"/>
        </w:rPr>
      </w:pPr>
      <w:proofErr w:type="spellStart"/>
      <w:r w:rsidRPr="00C606A7">
        <w:rPr>
          <w:rFonts w:ascii="Arial" w:hAnsi="Arial" w:cs="Arial"/>
        </w:rPr>
        <w:t>Frögéli</w:t>
      </w:r>
      <w:proofErr w:type="spellEnd"/>
      <w:r w:rsidRPr="00C606A7">
        <w:rPr>
          <w:rFonts w:ascii="Arial" w:hAnsi="Arial" w:cs="Arial"/>
        </w:rPr>
        <w:t xml:space="preserve">, E., Jenner, B. and Gustavsson, P. (2023) 'Effectiveness of formal onboarding for facilitating organizational socialization: a systematic review', </w:t>
      </w:r>
      <w:r w:rsidRPr="00C606A7">
        <w:rPr>
          <w:rFonts w:ascii="Arial" w:hAnsi="Arial" w:cs="Arial"/>
          <w:i/>
          <w:iCs/>
        </w:rPr>
        <w:t>PLOS ONE</w:t>
      </w:r>
      <w:r w:rsidRPr="00C606A7">
        <w:rPr>
          <w:rFonts w:ascii="Arial" w:hAnsi="Arial" w:cs="Arial"/>
        </w:rPr>
        <w:t>, 18(2), e0281823.</w:t>
      </w:r>
    </w:p>
    <w:p w14:paraId="4193C883" w14:textId="77777777" w:rsidR="00416A09" w:rsidRPr="00C606A7" w:rsidRDefault="00416A09" w:rsidP="002C2222">
      <w:pPr>
        <w:spacing w:after="0" w:line="360" w:lineRule="auto"/>
        <w:rPr>
          <w:rFonts w:ascii="Arial" w:hAnsi="Arial" w:cs="Arial"/>
        </w:rPr>
      </w:pPr>
      <w:r w:rsidRPr="00C606A7">
        <w:rPr>
          <w:rFonts w:ascii="Arial" w:hAnsi="Arial" w:cs="Arial"/>
        </w:rPr>
        <w:t xml:space="preserve">Hambrick, D.C. and </w:t>
      </w:r>
      <w:proofErr w:type="spellStart"/>
      <w:r w:rsidRPr="00C606A7">
        <w:rPr>
          <w:rFonts w:ascii="Arial" w:hAnsi="Arial" w:cs="Arial"/>
        </w:rPr>
        <w:t>Wowak</w:t>
      </w:r>
      <w:proofErr w:type="spellEnd"/>
      <w:r w:rsidRPr="00C606A7">
        <w:rPr>
          <w:rFonts w:ascii="Arial" w:hAnsi="Arial" w:cs="Arial"/>
        </w:rPr>
        <w:t xml:space="preserve">, A.J. (2021) 'CEO sociopolitical activism: a stakeholder alignment model', </w:t>
      </w:r>
      <w:r w:rsidRPr="00C606A7">
        <w:rPr>
          <w:rFonts w:ascii="Arial" w:hAnsi="Arial" w:cs="Arial"/>
          <w:i/>
          <w:iCs/>
        </w:rPr>
        <w:t>Academy of Management Review</w:t>
      </w:r>
      <w:r w:rsidRPr="00C606A7">
        <w:rPr>
          <w:rFonts w:ascii="Arial" w:hAnsi="Arial" w:cs="Arial"/>
        </w:rPr>
        <w:t>, 46(1), pp. 33–59.</w:t>
      </w:r>
    </w:p>
    <w:p w14:paraId="5D8020CE" w14:textId="77777777" w:rsidR="00416A09" w:rsidRPr="00C606A7" w:rsidRDefault="00416A09" w:rsidP="002C2222">
      <w:pPr>
        <w:spacing w:after="0" w:line="360" w:lineRule="auto"/>
        <w:rPr>
          <w:rFonts w:ascii="Arial" w:hAnsi="Arial" w:cs="Arial"/>
        </w:rPr>
      </w:pPr>
      <w:r w:rsidRPr="00C606A7">
        <w:rPr>
          <w:rFonts w:ascii="Arial" w:hAnsi="Arial" w:cs="Arial"/>
        </w:rPr>
        <w:t xml:space="preserve">Kim, S. et al. (2025) 'Strategic human resource management in the era of algorithmic technologies: key insights and future research agenda', </w:t>
      </w:r>
      <w:r w:rsidRPr="00C606A7">
        <w:rPr>
          <w:rFonts w:ascii="Arial" w:hAnsi="Arial" w:cs="Arial"/>
          <w:i/>
          <w:iCs/>
        </w:rPr>
        <w:t>Human Resource Management</w:t>
      </w:r>
      <w:r w:rsidRPr="00C606A7">
        <w:rPr>
          <w:rFonts w:ascii="Arial" w:hAnsi="Arial" w:cs="Arial"/>
        </w:rPr>
        <w:t>, 64(2), pp. 447–464.</w:t>
      </w:r>
    </w:p>
    <w:p w14:paraId="17776929" w14:textId="44C2D09F" w:rsidR="00416A09" w:rsidRPr="00C606A7" w:rsidRDefault="00416A09" w:rsidP="002C2222">
      <w:pPr>
        <w:spacing w:after="0" w:line="360" w:lineRule="auto"/>
        <w:rPr>
          <w:rFonts w:ascii="Arial" w:hAnsi="Arial" w:cs="Arial"/>
        </w:rPr>
      </w:pPr>
      <w:r w:rsidRPr="00C606A7">
        <w:rPr>
          <w:rFonts w:ascii="Arial" w:hAnsi="Arial" w:cs="Arial"/>
        </w:rPr>
        <w:t xml:space="preserve">Knight, C., Patterson, M. and Dawson, J. (2017) 'Building work engagement: a systematic review and meta-analysis investigating the effectiveness of work engagement interventions', </w:t>
      </w:r>
      <w:r w:rsidRPr="00C606A7">
        <w:rPr>
          <w:rFonts w:ascii="Arial" w:hAnsi="Arial" w:cs="Arial"/>
          <w:i/>
          <w:iCs/>
        </w:rPr>
        <w:t>Journal of Organizational</w:t>
      </w:r>
      <w:r w:rsidR="00BE390E" w:rsidRPr="00C606A7">
        <w:rPr>
          <w:rFonts w:ascii="Arial" w:hAnsi="Arial" w:cs="Arial"/>
          <w:i/>
          <w:iCs/>
        </w:rPr>
        <w:t xml:space="preserve"> </w:t>
      </w:r>
      <w:r w:rsidRPr="00C606A7">
        <w:rPr>
          <w:rFonts w:ascii="Arial" w:hAnsi="Arial" w:cs="Arial"/>
          <w:i/>
          <w:iCs/>
        </w:rPr>
        <w:t>Behavior</w:t>
      </w:r>
      <w:r w:rsidRPr="00C606A7">
        <w:rPr>
          <w:rFonts w:ascii="Arial" w:hAnsi="Arial" w:cs="Arial"/>
        </w:rPr>
        <w:t>, 38(6), pp. 792–812.</w:t>
      </w:r>
    </w:p>
    <w:p w14:paraId="5B0A1A11" w14:textId="77777777" w:rsidR="00416A09" w:rsidRPr="00C606A7" w:rsidRDefault="00416A09" w:rsidP="002C2222">
      <w:pPr>
        <w:spacing w:after="0" w:line="360" w:lineRule="auto"/>
        <w:rPr>
          <w:rFonts w:ascii="Arial" w:hAnsi="Arial" w:cs="Arial"/>
        </w:rPr>
      </w:pPr>
      <w:r w:rsidRPr="00C606A7">
        <w:rPr>
          <w:rFonts w:ascii="Arial" w:hAnsi="Arial" w:cs="Arial"/>
        </w:rPr>
        <w:t xml:space="preserve">Leicht-Deobald, U., Busch, T., Schank, C., Weibel, A., </w:t>
      </w:r>
      <w:proofErr w:type="spellStart"/>
      <w:r w:rsidRPr="00C606A7">
        <w:rPr>
          <w:rFonts w:ascii="Arial" w:hAnsi="Arial" w:cs="Arial"/>
        </w:rPr>
        <w:t>Schafheitle</w:t>
      </w:r>
      <w:proofErr w:type="spellEnd"/>
      <w:r w:rsidRPr="00C606A7">
        <w:rPr>
          <w:rFonts w:ascii="Arial" w:hAnsi="Arial" w:cs="Arial"/>
        </w:rPr>
        <w:t xml:space="preserve">, S., Wildhaber, I. and Kasper, G. (2019) 'The challenges of algorithm-based HR decision-making for personal integrity', </w:t>
      </w:r>
      <w:r w:rsidRPr="00C606A7">
        <w:rPr>
          <w:rFonts w:ascii="Arial" w:hAnsi="Arial" w:cs="Arial"/>
          <w:i/>
          <w:iCs/>
        </w:rPr>
        <w:t>Journal of Business Ethics</w:t>
      </w:r>
      <w:r w:rsidRPr="00C606A7">
        <w:rPr>
          <w:rFonts w:ascii="Arial" w:hAnsi="Arial" w:cs="Arial"/>
        </w:rPr>
        <w:t>, 160(2), pp. 377–392.</w:t>
      </w:r>
    </w:p>
    <w:p w14:paraId="57F87B51" w14:textId="77777777" w:rsidR="00416A09" w:rsidRPr="00C606A7" w:rsidRDefault="00416A09" w:rsidP="00C606A7">
      <w:pPr>
        <w:spacing w:after="0" w:line="360" w:lineRule="auto"/>
        <w:jc w:val="both"/>
        <w:rPr>
          <w:rFonts w:ascii="Arial" w:hAnsi="Arial" w:cs="Arial"/>
        </w:rPr>
      </w:pPr>
    </w:p>
    <w:sectPr w:rsidR="00416A09" w:rsidRPr="00C606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554E6" w14:textId="77777777" w:rsidR="00EC2DF8" w:rsidRDefault="00EC2DF8" w:rsidP="0062155A">
      <w:pPr>
        <w:spacing w:after="0" w:line="240" w:lineRule="auto"/>
      </w:pPr>
      <w:r>
        <w:separator/>
      </w:r>
    </w:p>
  </w:endnote>
  <w:endnote w:type="continuationSeparator" w:id="0">
    <w:p w14:paraId="52EA101E" w14:textId="77777777" w:rsidR="00EC2DF8" w:rsidRDefault="00EC2DF8" w:rsidP="00621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E7E98" w14:textId="77777777" w:rsidR="00EC2DF8" w:rsidRDefault="00EC2DF8" w:rsidP="0062155A">
      <w:pPr>
        <w:spacing w:after="0" w:line="240" w:lineRule="auto"/>
      </w:pPr>
      <w:r>
        <w:separator/>
      </w:r>
    </w:p>
  </w:footnote>
  <w:footnote w:type="continuationSeparator" w:id="0">
    <w:p w14:paraId="1726E8FC" w14:textId="77777777" w:rsidR="00EC2DF8" w:rsidRDefault="00EC2DF8" w:rsidP="006215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54101F"/>
    <w:multiLevelType w:val="hybridMultilevel"/>
    <w:tmpl w:val="11AAE96C"/>
    <w:lvl w:ilvl="0" w:tplc="6C182DD8">
      <w:start w:val="1"/>
      <w:numFmt w:val="decimal"/>
      <w:lvlText w:val="%1."/>
      <w:lvlJc w:val="left"/>
      <w:pPr>
        <w:ind w:left="720" w:hanging="360"/>
      </w:pPr>
      <w:rPr>
        <w:rFonts w:asciiTheme="majorHAnsi"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0091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5B8"/>
    <w:rsid w:val="000342A1"/>
    <w:rsid w:val="000A3472"/>
    <w:rsid w:val="000E62AA"/>
    <w:rsid w:val="00145DB5"/>
    <w:rsid w:val="0015760F"/>
    <w:rsid w:val="001923A2"/>
    <w:rsid w:val="001D10D3"/>
    <w:rsid w:val="001E034E"/>
    <w:rsid w:val="002C2222"/>
    <w:rsid w:val="002E7743"/>
    <w:rsid w:val="003F4DD5"/>
    <w:rsid w:val="00416A09"/>
    <w:rsid w:val="004D01D8"/>
    <w:rsid w:val="004D0FA7"/>
    <w:rsid w:val="00563838"/>
    <w:rsid w:val="0062155A"/>
    <w:rsid w:val="006956C2"/>
    <w:rsid w:val="006A1AED"/>
    <w:rsid w:val="00716424"/>
    <w:rsid w:val="007835B8"/>
    <w:rsid w:val="00791DDA"/>
    <w:rsid w:val="007C16A7"/>
    <w:rsid w:val="00842569"/>
    <w:rsid w:val="009354BE"/>
    <w:rsid w:val="00951561"/>
    <w:rsid w:val="00966500"/>
    <w:rsid w:val="009D08AC"/>
    <w:rsid w:val="00A21FA3"/>
    <w:rsid w:val="00AE45C9"/>
    <w:rsid w:val="00B272C3"/>
    <w:rsid w:val="00B430A3"/>
    <w:rsid w:val="00BE390E"/>
    <w:rsid w:val="00C03FA6"/>
    <w:rsid w:val="00C525E3"/>
    <w:rsid w:val="00C606A7"/>
    <w:rsid w:val="00C63116"/>
    <w:rsid w:val="00C752A3"/>
    <w:rsid w:val="00CB40F9"/>
    <w:rsid w:val="00D432AA"/>
    <w:rsid w:val="00D43B08"/>
    <w:rsid w:val="00DB1874"/>
    <w:rsid w:val="00DE0E54"/>
    <w:rsid w:val="00E5190C"/>
    <w:rsid w:val="00E70867"/>
    <w:rsid w:val="00E7351B"/>
    <w:rsid w:val="00E9499D"/>
    <w:rsid w:val="00EC2DF8"/>
    <w:rsid w:val="00F17087"/>
    <w:rsid w:val="00FF1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48FA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99D"/>
    <w:pPr>
      <w:keepNext/>
      <w:keepLines/>
      <w:spacing w:before="360" w:after="80"/>
      <w:outlineLvl w:val="0"/>
    </w:pPr>
    <w:rPr>
      <w:rFonts w:ascii="Arial" w:eastAsiaTheme="majorEastAsia" w:hAnsi="Arial" w:cs="Arial"/>
      <w:b/>
      <w:bCs/>
      <w:color w:val="0F4761" w:themeColor="accent1" w:themeShade="BF"/>
    </w:rPr>
  </w:style>
  <w:style w:type="paragraph" w:styleId="Heading2">
    <w:name w:val="heading 2"/>
    <w:basedOn w:val="Normal"/>
    <w:next w:val="Normal"/>
    <w:link w:val="Heading2Char"/>
    <w:uiPriority w:val="9"/>
    <w:unhideWhenUsed/>
    <w:qFormat/>
    <w:rsid w:val="00E9499D"/>
    <w:pPr>
      <w:keepNext/>
      <w:keepLines/>
      <w:spacing w:before="160" w:after="80"/>
      <w:outlineLvl w:val="1"/>
    </w:pPr>
    <w:rPr>
      <w:rFonts w:ascii="Arial" w:eastAsiaTheme="majorEastAsia" w:hAnsi="Arial" w:cs="Arial"/>
      <w:b/>
      <w:bCs/>
      <w:color w:val="0F4761" w:themeColor="accent1" w:themeShade="BF"/>
    </w:rPr>
  </w:style>
  <w:style w:type="paragraph" w:styleId="Heading3">
    <w:name w:val="heading 3"/>
    <w:basedOn w:val="Normal"/>
    <w:next w:val="Normal"/>
    <w:link w:val="Heading3Char"/>
    <w:uiPriority w:val="9"/>
    <w:unhideWhenUsed/>
    <w:qFormat/>
    <w:rsid w:val="00783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3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35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5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5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5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99D"/>
    <w:rPr>
      <w:rFonts w:ascii="Arial" w:eastAsiaTheme="majorEastAsia" w:hAnsi="Arial" w:cs="Arial"/>
      <w:b/>
      <w:bCs/>
      <w:color w:val="0F4761" w:themeColor="accent1" w:themeShade="BF"/>
    </w:rPr>
  </w:style>
  <w:style w:type="character" w:customStyle="1" w:styleId="Heading2Char">
    <w:name w:val="Heading 2 Char"/>
    <w:basedOn w:val="DefaultParagraphFont"/>
    <w:link w:val="Heading2"/>
    <w:uiPriority w:val="9"/>
    <w:rsid w:val="00E9499D"/>
    <w:rPr>
      <w:rFonts w:ascii="Arial" w:eastAsiaTheme="majorEastAsia" w:hAnsi="Arial" w:cs="Arial"/>
      <w:b/>
      <w:bCs/>
      <w:color w:val="0F4761" w:themeColor="accent1" w:themeShade="BF"/>
    </w:rPr>
  </w:style>
  <w:style w:type="character" w:customStyle="1" w:styleId="Heading3Char">
    <w:name w:val="Heading 3 Char"/>
    <w:basedOn w:val="DefaultParagraphFont"/>
    <w:link w:val="Heading3"/>
    <w:uiPriority w:val="9"/>
    <w:rsid w:val="00783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3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3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5B8"/>
    <w:rPr>
      <w:rFonts w:eastAsiaTheme="majorEastAsia" w:cstheme="majorBidi"/>
      <w:color w:val="272727" w:themeColor="text1" w:themeTint="D8"/>
    </w:rPr>
  </w:style>
  <w:style w:type="paragraph" w:styleId="Title">
    <w:name w:val="Title"/>
    <w:basedOn w:val="Normal"/>
    <w:next w:val="Normal"/>
    <w:link w:val="TitleChar"/>
    <w:uiPriority w:val="10"/>
    <w:qFormat/>
    <w:rsid w:val="007835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5B8"/>
    <w:pPr>
      <w:spacing w:before="160"/>
      <w:jc w:val="center"/>
    </w:pPr>
    <w:rPr>
      <w:i/>
      <w:iCs/>
      <w:color w:val="404040" w:themeColor="text1" w:themeTint="BF"/>
    </w:rPr>
  </w:style>
  <w:style w:type="character" w:customStyle="1" w:styleId="QuoteChar">
    <w:name w:val="Quote Char"/>
    <w:basedOn w:val="DefaultParagraphFont"/>
    <w:link w:val="Quote"/>
    <w:uiPriority w:val="29"/>
    <w:rsid w:val="007835B8"/>
    <w:rPr>
      <w:i/>
      <w:iCs/>
      <w:color w:val="404040" w:themeColor="text1" w:themeTint="BF"/>
    </w:rPr>
  </w:style>
  <w:style w:type="paragraph" w:styleId="ListParagraph">
    <w:name w:val="List Paragraph"/>
    <w:basedOn w:val="Normal"/>
    <w:uiPriority w:val="34"/>
    <w:qFormat/>
    <w:rsid w:val="007835B8"/>
    <w:pPr>
      <w:ind w:left="720"/>
      <w:contextualSpacing/>
    </w:pPr>
  </w:style>
  <w:style w:type="character" w:styleId="IntenseEmphasis">
    <w:name w:val="Intense Emphasis"/>
    <w:basedOn w:val="DefaultParagraphFont"/>
    <w:uiPriority w:val="21"/>
    <w:qFormat/>
    <w:rsid w:val="007835B8"/>
    <w:rPr>
      <w:i/>
      <w:iCs/>
      <w:color w:val="0F4761" w:themeColor="accent1" w:themeShade="BF"/>
    </w:rPr>
  </w:style>
  <w:style w:type="paragraph" w:styleId="IntenseQuote">
    <w:name w:val="Intense Quote"/>
    <w:basedOn w:val="Normal"/>
    <w:next w:val="Normal"/>
    <w:link w:val="IntenseQuoteChar"/>
    <w:uiPriority w:val="30"/>
    <w:qFormat/>
    <w:rsid w:val="00783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5B8"/>
    <w:rPr>
      <w:i/>
      <w:iCs/>
      <w:color w:val="0F4761" w:themeColor="accent1" w:themeShade="BF"/>
    </w:rPr>
  </w:style>
  <w:style w:type="character" w:styleId="IntenseReference">
    <w:name w:val="Intense Reference"/>
    <w:basedOn w:val="DefaultParagraphFont"/>
    <w:uiPriority w:val="32"/>
    <w:qFormat/>
    <w:rsid w:val="007835B8"/>
    <w:rPr>
      <w:b/>
      <w:bCs/>
      <w:smallCaps/>
      <w:color w:val="0F4761" w:themeColor="accent1" w:themeShade="BF"/>
      <w:spacing w:val="5"/>
    </w:rPr>
  </w:style>
  <w:style w:type="paragraph" w:styleId="TOCHeading">
    <w:name w:val="TOC Heading"/>
    <w:basedOn w:val="Heading1"/>
    <w:next w:val="Normal"/>
    <w:uiPriority w:val="39"/>
    <w:unhideWhenUsed/>
    <w:qFormat/>
    <w:rsid w:val="00E9499D"/>
    <w:pPr>
      <w:spacing w:before="240" w:after="0" w:line="259" w:lineRule="auto"/>
      <w:outlineLvl w:val="9"/>
    </w:pPr>
    <w:rPr>
      <w:rFonts w:asciiTheme="majorHAnsi" w:hAnsiTheme="majorHAnsi" w:cstheme="majorBidi"/>
      <w:b w:val="0"/>
      <w:bCs w:val="0"/>
      <w:kern w:val="0"/>
      <w:sz w:val="32"/>
      <w:szCs w:val="32"/>
      <w:lang w:val="en-US"/>
      <w14:ligatures w14:val="none"/>
    </w:rPr>
  </w:style>
  <w:style w:type="paragraph" w:styleId="TOC1">
    <w:name w:val="toc 1"/>
    <w:basedOn w:val="Normal"/>
    <w:next w:val="Normal"/>
    <w:autoRedefine/>
    <w:uiPriority w:val="39"/>
    <w:unhideWhenUsed/>
    <w:rsid w:val="00E9499D"/>
    <w:pPr>
      <w:spacing w:after="100"/>
    </w:pPr>
  </w:style>
  <w:style w:type="paragraph" w:styleId="TOC2">
    <w:name w:val="toc 2"/>
    <w:basedOn w:val="Normal"/>
    <w:next w:val="Normal"/>
    <w:autoRedefine/>
    <w:uiPriority w:val="39"/>
    <w:unhideWhenUsed/>
    <w:rsid w:val="00E9499D"/>
    <w:pPr>
      <w:spacing w:after="100"/>
      <w:ind w:left="240"/>
    </w:pPr>
  </w:style>
  <w:style w:type="character" w:styleId="Hyperlink">
    <w:name w:val="Hyperlink"/>
    <w:basedOn w:val="DefaultParagraphFont"/>
    <w:uiPriority w:val="99"/>
    <w:unhideWhenUsed/>
    <w:rsid w:val="00E9499D"/>
    <w:rPr>
      <w:color w:val="467886" w:themeColor="hyperlink"/>
      <w:u w:val="single"/>
    </w:rPr>
  </w:style>
  <w:style w:type="paragraph" w:styleId="Header">
    <w:name w:val="header"/>
    <w:basedOn w:val="Normal"/>
    <w:link w:val="HeaderChar"/>
    <w:uiPriority w:val="99"/>
    <w:unhideWhenUsed/>
    <w:rsid w:val="00621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55A"/>
  </w:style>
  <w:style w:type="paragraph" w:styleId="Footer">
    <w:name w:val="footer"/>
    <w:basedOn w:val="Normal"/>
    <w:link w:val="FooterChar"/>
    <w:uiPriority w:val="99"/>
    <w:unhideWhenUsed/>
    <w:rsid w:val="00621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55A"/>
  </w:style>
  <w:style w:type="paragraph" w:styleId="TOC3">
    <w:name w:val="toc 3"/>
    <w:basedOn w:val="Normal"/>
    <w:next w:val="Normal"/>
    <w:autoRedefine/>
    <w:uiPriority w:val="39"/>
    <w:unhideWhenUsed/>
    <w:rsid w:val="00145DB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480755">
      <w:bodyDiv w:val="1"/>
      <w:marLeft w:val="0"/>
      <w:marRight w:val="0"/>
      <w:marTop w:val="0"/>
      <w:marBottom w:val="0"/>
      <w:divBdr>
        <w:top w:val="none" w:sz="0" w:space="0" w:color="auto"/>
        <w:left w:val="none" w:sz="0" w:space="0" w:color="auto"/>
        <w:bottom w:val="none" w:sz="0" w:space="0" w:color="auto"/>
        <w:right w:val="none" w:sz="0" w:space="0" w:color="auto"/>
      </w:divBdr>
    </w:div>
    <w:div w:id="245843850">
      <w:bodyDiv w:val="1"/>
      <w:marLeft w:val="0"/>
      <w:marRight w:val="0"/>
      <w:marTop w:val="0"/>
      <w:marBottom w:val="0"/>
      <w:divBdr>
        <w:top w:val="none" w:sz="0" w:space="0" w:color="auto"/>
        <w:left w:val="none" w:sz="0" w:space="0" w:color="auto"/>
        <w:bottom w:val="none" w:sz="0" w:space="0" w:color="auto"/>
        <w:right w:val="none" w:sz="0" w:space="0" w:color="auto"/>
      </w:divBdr>
    </w:div>
    <w:div w:id="329137561">
      <w:bodyDiv w:val="1"/>
      <w:marLeft w:val="0"/>
      <w:marRight w:val="0"/>
      <w:marTop w:val="0"/>
      <w:marBottom w:val="0"/>
      <w:divBdr>
        <w:top w:val="none" w:sz="0" w:space="0" w:color="auto"/>
        <w:left w:val="none" w:sz="0" w:space="0" w:color="auto"/>
        <w:bottom w:val="none" w:sz="0" w:space="0" w:color="auto"/>
        <w:right w:val="none" w:sz="0" w:space="0" w:color="auto"/>
      </w:divBdr>
    </w:div>
    <w:div w:id="436679966">
      <w:bodyDiv w:val="1"/>
      <w:marLeft w:val="0"/>
      <w:marRight w:val="0"/>
      <w:marTop w:val="0"/>
      <w:marBottom w:val="0"/>
      <w:divBdr>
        <w:top w:val="none" w:sz="0" w:space="0" w:color="auto"/>
        <w:left w:val="none" w:sz="0" w:space="0" w:color="auto"/>
        <w:bottom w:val="none" w:sz="0" w:space="0" w:color="auto"/>
        <w:right w:val="none" w:sz="0" w:space="0" w:color="auto"/>
      </w:divBdr>
    </w:div>
    <w:div w:id="614599107">
      <w:bodyDiv w:val="1"/>
      <w:marLeft w:val="0"/>
      <w:marRight w:val="0"/>
      <w:marTop w:val="0"/>
      <w:marBottom w:val="0"/>
      <w:divBdr>
        <w:top w:val="none" w:sz="0" w:space="0" w:color="auto"/>
        <w:left w:val="none" w:sz="0" w:space="0" w:color="auto"/>
        <w:bottom w:val="none" w:sz="0" w:space="0" w:color="auto"/>
        <w:right w:val="none" w:sz="0" w:space="0" w:color="auto"/>
      </w:divBdr>
    </w:div>
    <w:div w:id="689066708">
      <w:bodyDiv w:val="1"/>
      <w:marLeft w:val="0"/>
      <w:marRight w:val="0"/>
      <w:marTop w:val="0"/>
      <w:marBottom w:val="0"/>
      <w:divBdr>
        <w:top w:val="none" w:sz="0" w:space="0" w:color="auto"/>
        <w:left w:val="none" w:sz="0" w:space="0" w:color="auto"/>
        <w:bottom w:val="none" w:sz="0" w:space="0" w:color="auto"/>
        <w:right w:val="none" w:sz="0" w:space="0" w:color="auto"/>
      </w:divBdr>
    </w:div>
    <w:div w:id="813374657">
      <w:bodyDiv w:val="1"/>
      <w:marLeft w:val="0"/>
      <w:marRight w:val="0"/>
      <w:marTop w:val="0"/>
      <w:marBottom w:val="0"/>
      <w:divBdr>
        <w:top w:val="none" w:sz="0" w:space="0" w:color="auto"/>
        <w:left w:val="none" w:sz="0" w:space="0" w:color="auto"/>
        <w:bottom w:val="none" w:sz="0" w:space="0" w:color="auto"/>
        <w:right w:val="none" w:sz="0" w:space="0" w:color="auto"/>
      </w:divBdr>
    </w:div>
    <w:div w:id="839346540">
      <w:bodyDiv w:val="1"/>
      <w:marLeft w:val="0"/>
      <w:marRight w:val="0"/>
      <w:marTop w:val="0"/>
      <w:marBottom w:val="0"/>
      <w:divBdr>
        <w:top w:val="none" w:sz="0" w:space="0" w:color="auto"/>
        <w:left w:val="none" w:sz="0" w:space="0" w:color="auto"/>
        <w:bottom w:val="none" w:sz="0" w:space="0" w:color="auto"/>
        <w:right w:val="none" w:sz="0" w:space="0" w:color="auto"/>
      </w:divBdr>
    </w:div>
    <w:div w:id="840662983">
      <w:bodyDiv w:val="1"/>
      <w:marLeft w:val="0"/>
      <w:marRight w:val="0"/>
      <w:marTop w:val="0"/>
      <w:marBottom w:val="0"/>
      <w:divBdr>
        <w:top w:val="none" w:sz="0" w:space="0" w:color="auto"/>
        <w:left w:val="none" w:sz="0" w:space="0" w:color="auto"/>
        <w:bottom w:val="none" w:sz="0" w:space="0" w:color="auto"/>
        <w:right w:val="none" w:sz="0" w:space="0" w:color="auto"/>
      </w:divBdr>
    </w:div>
    <w:div w:id="995911039">
      <w:bodyDiv w:val="1"/>
      <w:marLeft w:val="0"/>
      <w:marRight w:val="0"/>
      <w:marTop w:val="0"/>
      <w:marBottom w:val="0"/>
      <w:divBdr>
        <w:top w:val="none" w:sz="0" w:space="0" w:color="auto"/>
        <w:left w:val="none" w:sz="0" w:space="0" w:color="auto"/>
        <w:bottom w:val="none" w:sz="0" w:space="0" w:color="auto"/>
        <w:right w:val="none" w:sz="0" w:space="0" w:color="auto"/>
      </w:divBdr>
    </w:div>
    <w:div w:id="1062095455">
      <w:bodyDiv w:val="1"/>
      <w:marLeft w:val="0"/>
      <w:marRight w:val="0"/>
      <w:marTop w:val="0"/>
      <w:marBottom w:val="0"/>
      <w:divBdr>
        <w:top w:val="none" w:sz="0" w:space="0" w:color="auto"/>
        <w:left w:val="none" w:sz="0" w:space="0" w:color="auto"/>
        <w:bottom w:val="none" w:sz="0" w:space="0" w:color="auto"/>
        <w:right w:val="none" w:sz="0" w:space="0" w:color="auto"/>
      </w:divBdr>
    </w:div>
    <w:div w:id="1087459230">
      <w:bodyDiv w:val="1"/>
      <w:marLeft w:val="0"/>
      <w:marRight w:val="0"/>
      <w:marTop w:val="0"/>
      <w:marBottom w:val="0"/>
      <w:divBdr>
        <w:top w:val="none" w:sz="0" w:space="0" w:color="auto"/>
        <w:left w:val="none" w:sz="0" w:space="0" w:color="auto"/>
        <w:bottom w:val="none" w:sz="0" w:space="0" w:color="auto"/>
        <w:right w:val="none" w:sz="0" w:space="0" w:color="auto"/>
      </w:divBdr>
    </w:div>
    <w:div w:id="1140461475">
      <w:bodyDiv w:val="1"/>
      <w:marLeft w:val="0"/>
      <w:marRight w:val="0"/>
      <w:marTop w:val="0"/>
      <w:marBottom w:val="0"/>
      <w:divBdr>
        <w:top w:val="none" w:sz="0" w:space="0" w:color="auto"/>
        <w:left w:val="none" w:sz="0" w:space="0" w:color="auto"/>
        <w:bottom w:val="none" w:sz="0" w:space="0" w:color="auto"/>
        <w:right w:val="none" w:sz="0" w:space="0" w:color="auto"/>
      </w:divBdr>
    </w:div>
    <w:div w:id="1171674848">
      <w:bodyDiv w:val="1"/>
      <w:marLeft w:val="0"/>
      <w:marRight w:val="0"/>
      <w:marTop w:val="0"/>
      <w:marBottom w:val="0"/>
      <w:divBdr>
        <w:top w:val="none" w:sz="0" w:space="0" w:color="auto"/>
        <w:left w:val="none" w:sz="0" w:space="0" w:color="auto"/>
        <w:bottom w:val="none" w:sz="0" w:space="0" w:color="auto"/>
        <w:right w:val="none" w:sz="0" w:space="0" w:color="auto"/>
      </w:divBdr>
    </w:div>
    <w:div w:id="1239905415">
      <w:bodyDiv w:val="1"/>
      <w:marLeft w:val="0"/>
      <w:marRight w:val="0"/>
      <w:marTop w:val="0"/>
      <w:marBottom w:val="0"/>
      <w:divBdr>
        <w:top w:val="none" w:sz="0" w:space="0" w:color="auto"/>
        <w:left w:val="none" w:sz="0" w:space="0" w:color="auto"/>
        <w:bottom w:val="none" w:sz="0" w:space="0" w:color="auto"/>
        <w:right w:val="none" w:sz="0" w:space="0" w:color="auto"/>
      </w:divBdr>
    </w:div>
    <w:div w:id="1259875849">
      <w:bodyDiv w:val="1"/>
      <w:marLeft w:val="0"/>
      <w:marRight w:val="0"/>
      <w:marTop w:val="0"/>
      <w:marBottom w:val="0"/>
      <w:divBdr>
        <w:top w:val="none" w:sz="0" w:space="0" w:color="auto"/>
        <w:left w:val="none" w:sz="0" w:space="0" w:color="auto"/>
        <w:bottom w:val="none" w:sz="0" w:space="0" w:color="auto"/>
        <w:right w:val="none" w:sz="0" w:space="0" w:color="auto"/>
      </w:divBdr>
    </w:div>
    <w:div w:id="1659728339">
      <w:bodyDiv w:val="1"/>
      <w:marLeft w:val="0"/>
      <w:marRight w:val="0"/>
      <w:marTop w:val="0"/>
      <w:marBottom w:val="0"/>
      <w:divBdr>
        <w:top w:val="none" w:sz="0" w:space="0" w:color="auto"/>
        <w:left w:val="none" w:sz="0" w:space="0" w:color="auto"/>
        <w:bottom w:val="none" w:sz="0" w:space="0" w:color="auto"/>
        <w:right w:val="none" w:sz="0" w:space="0" w:color="auto"/>
      </w:divBdr>
    </w:div>
    <w:div w:id="1975787356">
      <w:bodyDiv w:val="1"/>
      <w:marLeft w:val="0"/>
      <w:marRight w:val="0"/>
      <w:marTop w:val="0"/>
      <w:marBottom w:val="0"/>
      <w:divBdr>
        <w:top w:val="none" w:sz="0" w:space="0" w:color="auto"/>
        <w:left w:val="none" w:sz="0" w:space="0" w:color="auto"/>
        <w:bottom w:val="none" w:sz="0" w:space="0" w:color="auto"/>
        <w:right w:val="none" w:sz="0" w:space="0" w:color="auto"/>
      </w:divBdr>
    </w:div>
    <w:div w:id="2021354305">
      <w:bodyDiv w:val="1"/>
      <w:marLeft w:val="0"/>
      <w:marRight w:val="0"/>
      <w:marTop w:val="0"/>
      <w:marBottom w:val="0"/>
      <w:divBdr>
        <w:top w:val="none" w:sz="0" w:space="0" w:color="auto"/>
        <w:left w:val="none" w:sz="0" w:space="0" w:color="auto"/>
        <w:bottom w:val="none" w:sz="0" w:space="0" w:color="auto"/>
        <w:right w:val="none" w:sz="0" w:space="0" w:color="auto"/>
      </w:divBdr>
    </w:div>
    <w:div w:id="2146779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9970A-11A9-48C2-BE3E-5A5F99087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3966</Words>
  <Characters>22608</Characters>
  <Application>Microsoft Office Word</Application>
  <DocSecurity>0</DocSecurity>
  <Lines>188</Lines>
  <Paragraphs>53</Paragraphs>
  <ScaleCrop>false</ScaleCrop>
  <Company/>
  <LinksUpToDate>false</LinksUpToDate>
  <CharactersWithSpaces>26521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2026-07-12T22:29:00Z</dcterms:created>
  <dcterms:modified xsi:type="dcterms:W3CDTF">2026-07-17T12:13:00Z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07ad419b-06a3-4136-9f93-48bcc54bf694</vt:lpwstr>
  </property>
</Properties>
</file>