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BBE22" w14:textId="77777777" w:rsidR="009257EB" w:rsidRDefault="00581D11">
      <w:pPr>
        <w:rPr>
          <w:lang w:val="en-US"/>
        </w:rPr>
      </w:pPr>
      <w:r>
        <w:rPr>
          <w:lang w:val="en-US"/>
        </w:rPr>
        <w:t>To be read in conjunction with the Sources of Law Power Point</w:t>
      </w:r>
    </w:p>
    <w:p w14:paraId="06EA1484" w14:textId="77777777" w:rsidR="00581D11" w:rsidRDefault="00581D11">
      <w:pPr>
        <w:rPr>
          <w:lang w:val="en-US"/>
        </w:rPr>
      </w:pPr>
      <w:r>
        <w:rPr>
          <w:lang w:val="en-US"/>
        </w:rPr>
        <w:t>Introduction</w:t>
      </w:r>
    </w:p>
    <w:p w14:paraId="5D21D0A9" w14:textId="77777777" w:rsidR="00581D11" w:rsidRDefault="00581D11">
      <w:pPr>
        <w:rPr>
          <w:b/>
          <w:bCs/>
          <w:lang w:val="en-US"/>
        </w:rPr>
      </w:pPr>
      <w:r>
        <w:rPr>
          <w:lang w:val="en-US"/>
        </w:rPr>
        <w:t xml:space="preserve">The </w:t>
      </w:r>
      <w:r>
        <w:rPr>
          <w:b/>
          <w:bCs/>
          <w:lang w:val="en-US"/>
        </w:rPr>
        <w:t xml:space="preserve">TFEU </w:t>
      </w:r>
      <w:r>
        <w:rPr>
          <w:lang w:val="en-US"/>
        </w:rPr>
        <w:t xml:space="preserve">was treated by many MS as self-executing, that is to say that it became law in a MS immediately upon ratification without needing national legislation to implement it. The UK chose to pass such legislation because of its approach to the status of non-national law.  For it to be part of our legal system it had to be written into national law – </w:t>
      </w:r>
      <w:r>
        <w:rPr>
          <w:b/>
          <w:bCs/>
          <w:lang w:val="en-US"/>
        </w:rPr>
        <w:t>s2(1) European Communities Act 1972.</w:t>
      </w:r>
    </w:p>
    <w:p w14:paraId="754ED2E3" w14:textId="77777777" w:rsidR="00581D11" w:rsidRDefault="00581D11">
      <w:pPr>
        <w:rPr>
          <w:b/>
          <w:bCs/>
          <w:lang w:val="en-US"/>
        </w:rPr>
      </w:pPr>
      <w:proofErr w:type="gramStart"/>
      <w:r>
        <w:rPr>
          <w:lang w:val="en-US"/>
        </w:rPr>
        <w:t>Therefore</w:t>
      </w:r>
      <w:proofErr w:type="gramEnd"/>
      <w:r>
        <w:rPr>
          <w:lang w:val="en-US"/>
        </w:rPr>
        <w:t xml:space="preserve"> the treaties were as much part of UK law as an Act of Parliament.  Many other MS don’t require the Treaties to be written into their national law, they are just automatically part of the national legal system.  </w:t>
      </w:r>
      <w:proofErr w:type="gramStart"/>
      <w:r>
        <w:rPr>
          <w:lang w:val="en-US"/>
        </w:rPr>
        <w:t>However</w:t>
      </w:r>
      <w:proofErr w:type="gramEnd"/>
      <w:r>
        <w:rPr>
          <w:lang w:val="en-US"/>
        </w:rPr>
        <w:t xml:space="preserve"> they achieve it the important point is that Treaties apply automatically to all MS and are therefore said to have </w:t>
      </w:r>
      <w:r>
        <w:rPr>
          <w:b/>
          <w:bCs/>
          <w:lang w:val="en-US"/>
        </w:rPr>
        <w:t>direct applicability.</w:t>
      </w:r>
    </w:p>
    <w:p w14:paraId="6BFD3317" w14:textId="77777777" w:rsidR="001342C9" w:rsidRDefault="00581D11">
      <w:pPr>
        <w:rPr>
          <w:lang w:val="en-US"/>
        </w:rPr>
      </w:pPr>
      <w:r>
        <w:rPr>
          <w:b/>
          <w:bCs/>
          <w:lang w:val="en-US"/>
        </w:rPr>
        <w:t xml:space="preserve">Art 288 TFEU </w:t>
      </w:r>
      <w:r>
        <w:rPr>
          <w:lang w:val="en-US"/>
        </w:rPr>
        <w:t xml:space="preserve">defines 5 types of legal act which the EU may use: </w:t>
      </w:r>
      <w:r>
        <w:rPr>
          <w:b/>
          <w:bCs/>
          <w:lang w:val="en-US"/>
        </w:rPr>
        <w:t>Regulations; Directives, Decisions</w:t>
      </w:r>
      <w:r w:rsidR="001342C9">
        <w:rPr>
          <w:b/>
          <w:bCs/>
          <w:lang w:val="en-US"/>
        </w:rPr>
        <w:t xml:space="preserve">, Recommendations </w:t>
      </w:r>
      <w:r w:rsidR="001342C9">
        <w:rPr>
          <w:lang w:val="en-US"/>
        </w:rPr>
        <w:t>and</w:t>
      </w:r>
      <w:r w:rsidR="001342C9">
        <w:rPr>
          <w:b/>
          <w:bCs/>
          <w:lang w:val="en-US"/>
        </w:rPr>
        <w:t xml:space="preserve"> Opinions.  </w:t>
      </w:r>
      <w:r w:rsidR="001342C9">
        <w:rPr>
          <w:lang w:val="en-US"/>
        </w:rPr>
        <w:t xml:space="preserve">Neither Recommendations nor Opinions have binding </w:t>
      </w:r>
      <w:proofErr w:type="gramStart"/>
      <w:r w:rsidR="001342C9">
        <w:rPr>
          <w:lang w:val="en-US"/>
        </w:rPr>
        <w:t>force</w:t>
      </w:r>
      <w:proofErr w:type="gramEnd"/>
      <w:r w:rsidR="001342C9">
        <w:rPr>
          <w:lang w:val="en-US"/>
        </w:rPr>
        <w:t xml:space="preserve"> but it is wise to take note of them because they are often followed by binding measures along the same lines.</w:t>
      </w:r>
    </w:p>
    <w:p w14:paraId="6B9DF775" w14:textId="77777777" w:rsidR="001342C9" w:rsidRDefault="001342C9">
      <w:pPr>
        <w:rPr>
          <w:b/>
          <w:bCs/>
          <w:lang w:val="en-US"/>
        </w:rPr>
      </w:pPr>
      <w:r>
        <w:rPr>
          <w:b/>
          <w:bCs/>
          <w:lang w:val="en-US"/>
        </w:rPr>
        <w:t>The Treaties</w:t>
      </w:r>
    </w:p>
    <w:p w14:paraId="262B3852" w14:textId="77777777" w:rsidR="004B29E3" w:rsidRPr="004B29E3" w:rsidRDefault="004B29E3" w:rsidP="004B29E3">
      <w:r w:rsidRPr="004B29E3">
        <w:rPr>
          <w:lang w:val="en-US"/>
        </w:rPr>
        <w:t>Treaties constitute the basis of the EU legal order and are its primary sources.  National law has incorporated the Treaties’ provisions from which all other EU law is derived.  The Treaties provide for secondary legislation to be enacted by the institutions established by the Treaties.</w:t>
      </w:r>
    </w:p>
    <w:p w14:paraId="631C5C28" w14:textId="77777777" w:rsidR="001342C9" w:rsidRDefault="004B29E3">
      <w:pPr>
        <w:rPr>
          <w:i/>
          <w:iCs/>
        </w:rPr>
      </w:pPr>
      <w:r w:rsidRPr="004B29E3">
        <w:rPr>
          <w:i/>
          <w:iCs/>
        </w:rPr>
        <w:t xml:space="preserve">Imagine a set of house rules listing what chores need doing, what rewards can be given and what sanctions might be imposed if chores </w:t>
      </w:r>
      <w:r>
        <w:rPr>
          <w:i/>
          <w:iCs/>
        </w:rPr>
        <w:t>are</w:t>
      </w:r>
      <w:r w:rsidRPr="004B29E3">
        <w:rPr>
          <w:i/>
          <w:iCs/>
        </w:rPr>
        <w:t xml:space="preserve"> not carried </w:t>
      </w:r>
      <w:proofErr w:type="gramStart"/>
      <w:r w:rsidRPr="004B29E3">
        <w:rPr>
          <w:i/>
          <w:iCs/>
        </w:rPr>
        <w:t>out .</w:t>
      </w:r>
      <w:proofErr w:type="gramEnd"/>
      <w:r w:rsidRPr="004B29E3">
        <w:rPr>
          <w:i/>
          <w:iCs/>
        </w:rPr>
        <w:t xml:space="preserve"> The house rules, however, </w:t>
      </w:r>
      <w:r>
        <w:rPr>
          <w:i/>
          <w:iCs/>
        </w:rPr>
        <w:t>are</w:t>
      </w:r>
      <w:r w:rsidRPr="004B29E3">
        <w:rPr>
          <w:i/>
          <w:iCs/>
        </w:rPr>
        <w:t xml:space="preserve"> written very generally: for example, they might say the recycling must be taken to the relevant recycling points every 2 weeks or the rabbit hutch must be cleaned out fully every weekend. The house rules leave room for further, more detailed instructions to be given. </w:t>
      </w:r>
    </w:p>
    <w:p w14:paraId="5208577A" w14:textId="77777777" w:rsidR="004B29E3" w:rsidRDefault="004B29E3">
      <w:r>
        <w:t>In the EU context, these detailed instructions or laws are secondary legislation and we will look at the different ones in turn.</w:t>
      </w:r>
    </w:p>
    <w:p w14:paraId="2510C135" w14:textId="77777777" w:rsidR="004B29E3" w:rsidRDefault="004B29E3">
      <w:pPr>
        <w:rPr>
          <w:b/>
          <w:bCs/>
        </w:rPr>
      </w:pPr>
      <w:r>
        <w:rPr>
          <w:b/>
          <w:bCs/>
        </w:rPr>
        <w:t>Regulations</w:t>
      </w:r>
    </w:p>
    <w:p w14:paraId="0ED0D896" w14:textId="77777777" w:rsidR="007F23C4" w:rsidRDefault="007F23C4" w:rsidP="007F23C4">
      <w:pPr>
        <w:rPr>
          <w:i/>
          <w:iCs/>
        </w:rPr>
      </w:pPr>
      <w:r w:rsidRPr="007F23C4">
        <w:rPr>
          <w:lang w:val="en-US"/>
        </w:rPr>
        <w:t>Regulations are the principal form of secondary legislation.</w:t>
      </w:r>
      <w:r>
        <w:rPr>
          <w:b/>
          <w:bCs/>
          <w:lang w:val="en-US"/>
        </w:rPr>
        <w:t xml:space="preserve">  </w:t>
      </w:r>
      <w:r w:rsidRPr="007F23C4">
        <w:rPr>
          <w:b/>
          <w:bCs/>
        </w:rPr>
        <w:t xml:space="preserve">Article 288 TEU </w:t>
      </w:r>
      <w:r w:rsidRPr="007F23C4">
        <w:t xml:space="preserve">provides that </w:t>
      </w:r>
      <w:r w:rsidRPr="007F23C4">
        <w:rPr>
          <w:i/>
          <w:iCs/>
        </w:rPr>
        <w:t>‘A regulation shall have general application. It shall be binding in its entirety and directly applicable in all Member States.’</w:t>
      </w:r>
    </w:p>
    <w:p w14:paraId="7D11AD28" w14:textId="77777777" w:rsidR="007F23C4" w:rsidRDefault="007F23C4" w:rsidP="007F23C4">
      <w:r>
        <w:t xml:space="preserve">It follows that Regulations apply uniformly and without further enactment throughout the EU.  Regulations have 3 characteristic elements: they are of </w:t>
      </w:r>
      <w:r w:rsidRPr="007F23C4">
        <w:rPr>
          <w:b/>
          <w:bCs/>
        </w:rPr>
        <w:t>general application</w:t>
      </w:r>
      <w:r>
        <w:t xml:space="preserve"> (</w:t>
      </w:r>
      <w:r w:rsidRPr="007F23C4">
        <w:t>the measure applies generally to all member states</w:t>
      </w:r>
      <w:r>
        <w:t xml:space="preserve">); they are of </w:t>
      </w:r>
      <w:r w:rsidRPr="007F23C4">
        <w:rPr>
          <w:b/>
          <w:bCs/>
        </w:rPr>
        <w:t>binding character</w:t>
      </w:r>
      <w:r>
        <w:t xml:space="preserve"> (</w:t>
      </w:r>
      <w:r w:rsidRPr="007F23C4">
        <w:t>means that the Member States have no choice whether to give effect to the measure. They are bound by the regulation in its entirety</w:t>
      </w:r>
      <w:r>
        <w:t xml:space="preserve">); they are </w:t>
      </w:r>
      <w:r w:rsidRPr="007F23C4">
        <w:rPr>
          <w:b/>
          <w:bCs/>
        </w:rPr>
        <w:t>directly applicable</w:t>
      </w:r>
      <w:r>
        <w:t xml:space="preserve"> (</w:t>
      </w:r>
      <w:r w:rsidRPr="007F23C4">
        <w:t>the law automatically becomes law in each Member state on the date specified. The consequence of this is that there is no requirement for the state to implement the measure</w:t>
      </w:r>
      <w:r>
        <w:t>).</w:t>
      </w:r>
    </w:p>
    <w:p w14:paraId="2A2CE05A" w14:textId="77777777" w:rsidR="007F23C4" w:rsidRPr="007F23C4" w:rsidRDefault="007F23C4" w:rsidP="0069628E">
      <w:r w:rsidRPr="007F23C4">
        <w:t>A comparison that may be useful to make is with Acts of Parliament in the UK. Being that they automatically become law on the date specified and are automatically binding.</w:t>
      </w:r>
    </w:p>
    <w:p w14:paraId="16A7AA40" w14:textId="77777777" w:rsidR="007F23C4" w:rsidRPr="007F23C4" w:rsidRDefault="007F23C4" w:rsidP="0069628E">
      <w:r w:rsidRPr="007F23C4">
        <w:t>Regulations are also capable of creating rights and obligations which are then directly enforceable in the national courts through the principle of direct effect.</w:t>
      </w:r>
    </w:p>
    <w:p w14:paraId="393B0CA7" w14:textId="77777777" w:rsidR="007F23C4" w:rsidRPr="007F23C4" w:rsidRDefault="007F23C4" w:rsidP="007F23C4">
      <w:r w:rsidRPr="007F23C4">
        <w:lastRenderedPageBreak/>
        <w:t xml:space="preserve">In Case 17/67, </w:t>
      </w:r>
      <w:r w:rsidRPr="007F23C4">
        <w:rPr>
          <w:b/>
          <w:bCs/>
          <w:i/>
          <w:iCs/>
        </w:rPr>
        <w:t>Neumann [1967]</w:t>
      </w:r>
      <w:r w:rsidRPr="007F23C4">
        <w:t>, the Court of Justice said:</w:t>
      </w:r>
    </w:p>
    <w:p w14:paraId="29612D60" w14:textId="77777777" w:rsidR="007F23C4" w:rsidRDefault="007F23C4" w:rsidP="007F23C4">
      <w:pPr>
        <w:rPr>
          <w:i/>
          <w:iCs/>
        </w:rPr>
      </w:pPr>
      <w:r w:rsidRPr="007F23C4">
        <w:rPr>
          <w:i/>
          <w:iCs/>
        </w:rPr>
        <w:t>‘</w:t>
      </w:r>
      <w:r w:rsidRPr="007F23C4">
        <w:t xml:space="preserve">[the system applied by the Regulation] </w:t>
      </w:r>
      <w:r w:rsidRPr="007F23C4">
        <w:rPr>
          <w:i/>
          <w:iCs/>
        </w:rPr>
        <w:t>must therefore be applied with the same binding force in all the Member States within the context of the Community Legal System which they have set up and which, by virtue of the Treaty, has been integrated into their legal systems.’</w:t>
      </w:r>
    </w:p>
    <w:p w14:paraId="10167307" w14:textId="77777777" w:rsidR="0069628E" w:rsidRDefault="0069628E" w:rsidP="007F23C4">
      <w:pPr>
        <w:rPr>
          <w:i/>
          <w:iCs/>
        </w:rPr>
      </w:pPr>
      <w:r w:rsidRPr="0069628E">
        <w:rPr>
          <w:i/>
          <w:iCs/>
        </w:rPr>
        <w:t>Consider the house rules example again. To make sure that the rabbit hutch is cleaned out properly every weekend and the rabbits are well cared for, you sit down and write detailed instructions on how the hutch</w:t>
      </w:r>
      <w:r>
        <w:rPr>
          <w:i/>
          <w:iCs/>
        </w:rPr>
        <w:t xml:space="preserve"> is </w:t>
      </w:r>
      <w:r w:rsidRPr="0069628E">
        <w:rPr>
          <w:i/>
          <w:iCs/>
        </w:rPr>
        <w:t xml:space="preserve">to be </w:t>
      </w:r>
      <w:proofErr w:type="gramStart"/>
      <w:r w:rsidRPr="0069628E">
        <w:rPr>
          <w:i/>
          <w:iCs/>
        </w:rPr>
        <w:t>cleaned .</w:t>
      </w:r>
      <w:proofErr w:type="gramEnd"/>
      <w:r w:rsidRPr="0069628E">
        <w:rPr>
          <w:i/>
          <w:iCs/>
        </w:rPr>
        <w:t xml:space="preserve"> You specify, for example, that the rabbits </w:t>
      </w:r>
      <w:r>
        <w:rPr>
          <w:i/>
          <w:iCs/>
        </w:rPr>
        <w:t>are</w:t>
      </w:r>
      <w:r w:rsidRPr="0069628E">
        <w:rPr>
          <w:i/>
          <w:iCs/>
        </w:rPr>
        <w:t xml:space="preserve"> to be put in temporary accommodation</w:t>
      </w:r>
      <w:r>
        <w:rPr>
          <w:i/>
          <w:iCs/>
        </w:rPr>
        <w:t xml:space="preserve">, </w:t>
      </w:r>
      <w:r w:rsidRPr="0069628E">
        <w:rPr>
          <w:i/>
          <w:iCs/>
        </w:rPr>
        <w:t xml:space="preserve"> the old bedding is to be removed and placed on the compost</w:t>
      </w:r>
      <w:r>
        <w:rPr>
          <w:i/>
          <w:iCs/>
        </w:rPr>
        <w:t xml:space="preserve">, </w:t>
      </w:r>
      <w:r w:rsidRPr="0069628E">
        <w:rPr>
          <w:i/>
          <w:iCs/>
        </w:rPr>
        <w:t>the hutch</w:t>
      </w:r>
      <w:r>
        <w:rPr>
          <w:i/>
          <w:iCs/>
        </w:rPr>
        <w:t xml:space="preserve"> is</w:t>
      </w:r>
      <w:r w:rsidRPr="0069628E">
        <w:rPr>
          <w:i/>
          <w:iCs/>
        </w:rPr>
        <w:t xml:space="preserve"> to be cleaned with warm water, food b</w:t>
      </w:r>
      <w:r>
        <w:rPr>
          <w:i/>
          <w:iCs/>
        </w:rPr>
        <w:t>owls</w:t>
      </w:r>
      <w:r w:rsidRPr="0069628E">
        <w:rPr>
          <w:i/>
          <w:iCs/>
        </w:rPr>
        <w:t xml:space="preserve"> and water bottles are to be washed</w:t>
      </w:r>
      <w:r>
        <w:rPr>
          <w:i/>
          <w:iCs/>
        </w:rPr>
        <w:t xml:space="preserve">, </w:t>
      </w:r>
      <w:r w:rsidRPr="0069628E">
        <w:rPr>
          <w:i/>
          <w:iCs/>
        </w:rPr>
        <w:t xml:space="preserve">and so on. This way you can make sure that </w:t>
      </w:r>
      <w:r>
        <w:rPr>
          <w:i/>
          <w:iCs/>
        </w:rPr>
        <w:t>who</w:t>
      </w:r>
      <w:r w:rsidRPr="0069628E">
        <w:rPr>
          <w:i/>
          <w:iCs/>
        </w:rPr>
        <w:t xml:space="preserve">ever cleans out the hutch does it properly and correctly. Asking all members of the household to do it in the same way </w:t>
      </w:r>
      <w:r>
        <w:rPr>
          <w:i/>
          <w:iCs/>
        </w:rPr>
        <w:t xml:space="preserve">is your </w:t>
      </w:r>
      <w:r w:rsidRPr="0069628E">
        <w:rPr>
          <w:i/>
          <w:iCs/>
        </w:rPr>
        <w:t xml:space="preserve">way of ensuring </w:t>
      </w:r>
      <w:r>
        <w:rPr>
          <w:i/>
          <w:iCs/>
        </w:rPr>
        <w:t xml:space="preserve">the </w:t>
      </w:r>
      <w:r w:rsidRPr="0069628E">
        <w:rPr>
          <w:i/>
          <w:iCs/>
        </w:rPr>
        <w:t>rabbits</w:t>
      </w:r>
      <w:r>
        <w:rPr>
          <w:i/>
          <w:iCs/>
        </w:rPr>
        <w:t>’</w:t>
      </w:r>
      <w:r w:rsidRPr="0069628E">
        <w:rPr>
          <w:i/>
          <w:iCs/>
        </w:rPr>
        <w:t xml:space="preserve"> </w:t>
      </w:r>
      <w:proofErr w:type="spellStart"/>
      <w:r w:rsidRPr="0069628E">
        <w:rPr>
          <w:i/>
          <w:iCs/>
        </w:rPr>
        <w:t>well being</w:t>
      </w:r>
      <w:proofErr w:type="spellEnd"/>
      <w:r w:rsidRPr="0069628E">
        <w:rPr>
          <w:i/>
          <w:iCs/>
        </w:rPr>
        <w:t xml:space="preserve"> a</w:t>
      </w:r>
      <w:r>
        <w:rPr>
          <w:i/>
          <w:iCs/>
        </w:rPr>
        <w:t xml:space="preserve">nd it is your </w:t>
      </w:r>
      <w:r w:rsidRPr="0069628E">
        <w:rPr>
          <w:i/>
          <w:iCs/>
        </w:rPr>
        <w:t xml:space="preserve">equivalent of a </w:t>
      </w:r>
      <w:r>
        <w:rPr>
          <w:i/>
          <w:iCs/>
        </w:rPr>
        <w:t>R</w:t>
      </w:r>
      <w:r w:rsidRPr="0069628E">
        <w:rPr>
          <w:i/>
          <w:iCs/>
        </w:rPr>
        <w:t xml:space="preserve">egulation. </w:t>
      </w:r>
    </w:p>
    <w:p w14:paraId="48477B08" w14:textId="77777777" w:rsidR="0069628E" w:rsidRDefault="0069628E" w:rsidP="007F23C4">
      <w:r>
        <w:t>A Regulation requires MS to stick to the law as laid down by the EU and Member States cannot vary the law.  So, if your family members want to write their own instructions for cleaning out the rabbit hutch, they would have to mirror your instructions exactly.  The following case is an example of this principle.</w:t>
      </w:r>
    </w:p>
    <w:p w14:paraId="7947B12D" w14:textId="77777777" w:rsidR="0069628E" w:rsidRDefault="0069628E" w:rsidP="007F23C4">
      <w:r>
        <w:t xml:space="preserve">In Case 40/69, </w:t>
      </w:r>
      <w:r>
        <w:rPr>
          <w:b/>
          <w:bCs/>
          <w:i/>
          <w:iCs/>
        </w:rPr>
        <w:t>Turkey Tails [1970]</w:t>
      </w:r>
      <w:r>
        <w:t xml:space="preserve">, the CJ held that Member States are prohibited from adopting national measures designed to alter the scope pf Regulations, or from amending their provisions.  In Case 39/72, </w:t>
      </w:r>
      <w:r>
        <w:rPr>
          <w:b/>
          <w:bCs/>
          <w:i/>
          <w:iCs/>
        </w:rPr>
        <w:t xml:space="preserve">Commission v Italy [1973] </w:t>
      </w:r>
      <w:r>
        <w:t xml:space="preserve">the Italian Government was found in breach of EU law by seeking to reproduce the provisions of a Regulation concerning the payment of premiums for the slaughter of milk cows (part of a scheme to reduce the surplus of dairy products in the EU).  This was so even if the objective was to make the provisions more accessible; the </w:t>
      </w:r>
      <w:r w:rsidR="00977608">
        <w:t>conversion of EU obligations into national law in this context destroys the EU character of the act.</w:t>
      </w:r>
    </w:p>
    <w:p w14:paraId="4E65124B" w14:textId="77777777" w:rsidR="00977608" w:rsidRDefault="00977608" w:rsidP="007F23C4">
      <w:pPr>
        <w:rPr>
          <w:b/>
          <w:bCs/>
        </w:rPr>
      </w:pPr>
      <w:r>
        <w:rPr>
          <w:b/>
          <w:bCs/>
        </w:rPr>
        <w:t>Directives</w:t>
      </w:r>
    </w:p>
    <w:p w14:paraId="167BA655" w14:textId="77777777" w:rsidR="00977608" w:rsidRDefault="00977608" w:rsidP="00977608">
      <w:pPr>
        <w:rPr>
          <w:b/>
          <w:bCs/>
          <w:u w:val="single"/>
        </w:rPr>
      </w:pPr>
      <w:r w:rsidRPr="00977608">
        <w:rPr>
          <w:i/>
          <w:iCs/>
        </w:rPr>
        <w:t xml:space="preserve">Art 288 TFEU: </w:t>
      </w:r>
      <w:r w:rsidRPr="00977608">
        <w:t xml:space="preserve">‘A directive shall be </w:t>
      </w:r>
      <w:proofErr w:type="gramStart"/>
      <w:r w:rsidRPr="00977608">
        <w:t>binding ,</w:t>
      </w:r>
      <w:r w:rsidRPr="00977608">
        <w:rPr>
          <w:b/>
          <w:bCs/>
          <w:u w:val="single"/>
        </w:rPr>
        <w:t>as</w:t>
      </w:r>
      <w:proofErr w:type="gramEnd"/>
      <w:r w:rsidRPr="00977608">
        <w:rPr>
          <w:b/>
          <w:bCs/>
          <w:u w:val="single"/>
        </w:rPr>
        <w:t xml:space="preserve"> to the result to be achieved, </w:t>
      </w:r>
      <w:r w:rsidRPr="00977608">
        <w:t xml:space="preserve">upon each MS to which it is addressed, but </w:t>
      </w:r>
      <w:r w:rsidRPr="00977608">
        <w:rPr>
          <w:b/>
          <w:bCs/>
          <w:u w:val="single"/>
        </w:rPr>
        <w:t>shall leave to the national authorities the choice of form and methods.’</w:t>
      </w:r>
    </w:p>
    <w:p w14:paraId="20A8D19D" w14:textId="77777777" w:rsidR="00B3359D" w:rsidRPr="00B3359D" w:rsidRDefault="00B3359D" w:rsidP="00977608">
      <w:r w:rsidRPr="00B3359D">
        <w:t xml:space="preserve">Directives can be addressed only to </w:t>
      </w:r>
      <w:r>
        <w:t>M</w:t>
      </w:r>
      <w:r w:rsidRPr="00B3359D">
        <w:t xml:space="preserve">ember States and require them to enact legislative or administrative rules to secure the objective set out in the </w:t>
      </w:r>
      <w:r>
        <w:t>D</w:t>
      </w:r>
      <w:r w:rsidRPr="00B3359D">
        <w:t xml:space="preserve">irective. National law must be enacted to implement the scheme laid down in the </w:t>
      </w:r>
      <w:r>
        <w:t>D</w:t>
      </w:r>
      <w:r w:rsidRPr="00B3359D">
        <w:t>irective</w:t>
      </w:r>
      <w:r>
        <w:t>.  A</w:t>
      </w:r>
      <w:r w:rsidRPr="00B3359D">
        <w:t xml:space="preserve"> time limit is usually set for the implementation in national law of the requirements of the </w:t>
      </w:r>
      <w:r>
        <w:t>D</w:t>
      </w:r>
      <w:r w:rsidRPr="00B3359D">
        <w:t xml:space="preserve">irective and the </w:t>
      </w:r>
      <w:r>
        <w:t>M</w:t>
      </w:r>
      <w:r w:rsidRPr="00B3359D">
        <w:t xml:space="preserve">ember </w:t>
      </w:r>
      <w:r>
        <w:t>S</w:t>
      </w:r>
      <w:r w:rsidRPr="00B3359D">
        <w:t xml:space="preserve">tate is required to report to the Commission the action taken to implement the requirements of the </w:t>
      </w:r>
      <w:r>
        <w:t>D</w:t>
      </w:r>
      <w:r w:rsidRPr="00B3359D">
        <w:t>irective.</w:t>
      </w:r>
    </w:p>
    <w:p w14:paraId="077E397F" w14:textId="77777777" w:rsidR="00B3359D" w:rsidRDefault="00B3359D" w:rsidP="00977608">
      <w:pPr>
        <w:rPr>
          <w:i/>
          <w:iCs/>
        </w:rPr>
      </w:pPr>
      <w:r>
        <w:rPr>
          <w:i/>
          <w:iCs/>
        </w:rPr>
        <w:t>Let’s</w:t>
      </w:r>
      <w:r w:rsidRPr="00B3359D">
        <w:rPr>
          <w:i/>
          <w:iCs/>
        </w:rPr>
        <w:t xml:space="preserve"> consider the house rules </w:t>
      </w:r>
      <w:proofErr w:type="gramStart"/>
      <w:r w:rsidRPr="00B3359D">
        <w:rPr>
          <w:i/>
          <w:iCs/>
        </w:rPr>
        <w:t>again .</w:t>
      </w:r>
      <w:proofErr w:type="gramEnd"/>
      <w:r w:rsidRPr="00B3359D">
        <w:rPr>
          <w:i/>
          <w:iCs/>
        </w:rPr>
        <w:t xml:space="preserve"> Imagine you have a rota and everyone in the family does different chores every month. You have already issued a </w:t>
      </w:r>
      <w:r>
        <w:rPr>
          <w:i/>
          <w:iCs/>
        </w:rPr>
        <w:t>R</w:t>
      </w:r>
      <w:r w:rsidRPr="00B3359D">
        <w:rPr>
          <w:i/>
          <w:iCs/>
        </w:rPr>
        <w:t xml:space="preserve">egulation relating to the cleaning of the rabbit </w:t>
      </w:r>
      <w:r>
        <w:rPr>
          <w:i/>
          <w:iCs/>
        </w:rPr>
        <w:t>hutch</w:t>
      </w:r>
      <w:r w:rsidRPr="00B3359D">
        <w:rPr>
          <w:i/>
          <w:iCs/>
        </w:rPr>
        <w:t xml:space="preserve">. You now want to give further detail on the recycling. You want to make sure that your paper, plastic and </w:t>
      </w:r>
      <w:r>
        <w:rPr>
          <w:i/>
          <w:iCs/>
        </w:rPr>
        <w:t>can</w:t>
      </w:r>
      <w:r w:rsidRPr="00B3359D">
        <w:rPr>
          <w:i/>
          <w:iCs/>
        </w:rPr>
        <w:t xml:space="preserve"> recycling is taken to the recycling point not far from your house at least every 2 weeks. If you </w:t>
      </w:r>
      <w:r>
        <w:rPr>
          <w:i/>
          <w:iCs/>
        </w:rPr>
        <w:t>or your</w:t>
      </w:r>
      <w:r w:rsidRPr="00B3359D">
        <w:rPr>
          <w:i/>
          <w:iCs/>
        </w:rPr>
        <w:t xml:space="preserve"> partner </w:t>
      </w:r>
      <w:r>
        <w:rPr>
          <w:i/>
          <w:iCs/>
        </w:rPr>
        <w:t>are</w:t>
      </w:r>
      <w:r w:rsidRPr="00B3359D">
        <w:rPr>
          <w:i/>
          <w:iCs/>
        </w:rPr>
        <w:t xml:space="preserve"> doing it</w:t>
      </w:r>
      <w:r>
        <w:rPr>
          <w:i/>
          <w:iCs/>
        </w:rPr>
        <w:t>,</w:t>
      </w:r>
      <w:r w:rsidRPr="00B3359D">
        <w:rPr>
          <w:i/>
          <w:iCs/>
        </w:rPr>
        <w:t xml:space="preserve"> you would tend to put everything in the car and drive round </w:t>
      </w:r>
      <w:r>
        <w:rPr>
          <w:i/>
          <w:iCs/>
        </w:rPr>
        <w:t xml:space="preserve">and </w:t>
      </w:r>
      <w:r w:rsidRPr="00B3359D">
        <w:rPr>
          <w:i/>
          <w:iCs/>
        </w:rPr>
        <w:t xml:space="preserve">do it all </w:t>
      </w:r>
      <w:r>
        <w:rPr>
          <w:i/>
          <w:iCs/>
        </w:rPr>
        <w:t>at</w:t>
      </w:r>
      <w:r w:rsidRPr="00B3359D">
        <w:rPr>
          <w:i/>
          <w:iCs/>
        </w:rPr>
        <w:t xml:space="preserve"> once. If one of your children is to do it, they are likely to take the paper one day and perhaps plastic another and cans on </w:t>
      </w:r>
      <w:proofErr w:type="gramStart"/>
      <w:r w:rsidRPr="00B3359D">
        <w:rPr>
          <w:i/>
          <w:iCs/>
        </w:rPr>
        <w:t>another .</w:t>
      </w:r>
      <w:proofErr w:type="gramEnd"/>
      <w:r w:rsidRPr="00B3359D">
        <w:rPr>
          <w:i/>
          <w:iCs/>
        </w:rPr>
        <w:t xml:space="preserve"> They might even want to do more than one trip for each if there is a lot to carry. You therefore write instructions saying that plastic, can and paper recycling should be done at least once every 2 weeks or when the storage space in your kitchen is full. You are issuing a </w:t>
      </w:r>
      <w:r>
        <w:rPr>
          <w:i/>
          <w:iCs/>
        </w:rPr>
        <w:t>D</w:t>
      </w:r>
      <w:r w:rsidRPr="00B3359D">
        <w:rPr>
          <w:i/>
          <w:iCs/>
        </w:rPr>
        <w:t>irective. You are not saying how the recycling has to be dealt with; You are just saying it has to be done. H</w:t>
      </w:r>
      <w:r>
        <w:rPr>
          <w:i/>
          <w:iCs/>
        </w:rPr>
        <w:t>ow it</w:t>
      </w:r>
      <w:r w:rsidRPr="00B3359D">
        <w:rPr>
          <w:i/>
          <w:iCs/>
        </w:rPr>
        <w:t xml:space="preserve"> get</w:t>
      </w:r>
      <w:r>
        <w:rPr>
          <w:i/>
          <w:iCs/>
        </w:rPr>
        <w:t>s</w:t>
      </w:r>
      <w:r w:rsidRPr="00B3359D">
        <w:rPr>
          <w:i/>
          <w:iCs/>
        </w:rPr>
        <w:t xml:space="preserve"> to the recycling point does not matter. In other words, you are specifying the objective but not the means by which the objective is achieved.</w:t>
      </w:r>
    </w:p>
    <w:p w14:paraId="10707F3A" w14:textId="77777777" w:rsidR="00B3359D" w:rsidRPr="009C4EA5" w:rsidRDefault="00B3359D" w:rsidP="00977608">
      <w:r w:rsidRPr="009C4EA5">
        <w:lastRenderedPageBreak/>
        <w:t xml:space="preserve">In one sense, </w:t>
      </w:r>
      <w:r w:rsidR="009C4EA5">
        <w:t>D</w:t>
      </w:r>
      <w:r w:rsidRPr="009C4EA5">
        <w:t>irective</w:t>
      </w:r>
      <w:r w:rsidR="009C4EA5">
        <w:t>s</w:t>
      </w:r>
      <w:r w:rsidRPr="009C4EA5">
        <w:t xml:space="preserve"> stand in marked contrast to </w:t>
      </w:r>
      <w:r w:rsidR="009C4EA5">
        <w:t>R</w:t>
      </w:r>
      <w:r w:rsidRPr="009C4EA5">
        <w:t xml:space="preserve">egulations. Regulations may not be tampered with and operate within the national legal order by virtue of their EU character. By contrast, </w:t>
      </w:r>
      <w:r w:rsidR="009C4EA5">
        <w:t>D</w:t>
      </w:r>
      <w:r w:rsidRPr="009C4EA5">
        <w:t>irectives must be converted into national law, embodying their requirements completely and in good faith.</w:t>
      </w:r>
    </w:p>
    <w:p w14:paraId="46CD8F7D" w14:textId="77777777" w:rsidR="009C4EA5" w:rsidRPr="009C4EA5" w:rsidRDefault="00B3359D" w:rsidP="00977608">
      <w:r w:rsidRPr="009C4EA5">
        <w:t xml:space="preserve">There are two ways of implementing </w:t>
      </w:r>
      <w:r w:rsidR="009C4EA5">
        <w:t>a</w:t>
      </w:r>
      <w:r w:rsidRPr="009C4EA5">
        <w:t xml:space="preserve"> </w:t>
      </w:r>
      <w:r w:rsidR="009C4EA5">
        <w:t>D</w:t>
      </w:r>
      <w:r w:rsidRPr="009C4EA5">
        <w:t>irective. First</w:t>
      </w:r>
      <w:r w:rsidR="009C4EA5">
        <w:t xml:space="preserve">, </w:t>
      </w:r>
      <w:r w:rsidRPr="009C4EA5">
        <w:t xml:space="preserve">the whole </w:t>
      </w:r>
      <w:r w:rsidR="009C4EA5">
        <w:t>D</w:t>
      </w:r>
      <w:r w:rsidRPr="009C4EA5">
        <w:t>irective can simply be taken an</w:t>
      </w:r>
      <w:r w:rsidR="009C4EA5">
        <w:t>d</w:t>
      </w:r>
      <w:r w:rsidRPr="009C4EA5">
        <w:t xml:space="preserve"> pas</w:t>
      </w:r>
      <w:r w:rsidR="009C4EA5">
        <w:t>sed as</w:t>
      </w:r>
      <w:r w:rsidRPr="009C4EA5">
        <w:t xml:space="preserve"> </w:t>
      </w:r>
      <w:r w:rsidR="009C4EA5">
        <w:t>n</w:t>
      </w:r>
      <w:r w:rsidRPr="009C4EA5">
        <w:t xml:space="preserve">ational legislation. </w:t>
      </w:r>
      <w:r w:rsidR="009C4EA5" w:rsidRPr="009C4EA5">
        <w:t xml:space="preserve">The resulting national law would then reflect the </w:t>
      </w:r>
      <w:r w:rsidR="009C4EA5">
        <w:t>D</w:t>
      </w:r>
      <w:r w:rsidR="009C4EA5" w:rsidRPr="009C4EA5">
        <w:t xml:space="preserve">irective word for word. This means that no question can arise as to whether the implementation is adequate. This is the approach that the UK adopted when implementing </w:t>
      </w:r>
      <w:r w:rsidR="009C4EA5" w:rsidRPr="009C4EA5">
        <w:rPr>
          <w:b/>
          <w:bCs/>
        </w:rPr>
        <w:t>Directive 93/13 EEC on unfair terms in</w:t>
      </w:r>
      <w:r w:rsidR="009C4EA5" w:rsidRPr="009C4EA5">
        <w:t xml:space="preserve"> </w:t>
      </w:r>
      <w:r w:rsidR="009C4EA5" w:rsidRPr="009C4EA5">
        <w:rPr>
          <w:b/>
          <w:bCs/>
        </w:rPr>
        <w:t>consumer contracts</w:t>
      </w:r>
      <w:r w:rsidR="009C4EA5" w:rsidRPr="009C4EA5">
        <w:t>. The UK simply passed the text as a statutory instrument</w:t>
      </w:r>
      <w:r w:rsidR="009C4EA5">
        <w:t xml:space="preserve">: </w:t>
      </w:r>
      <w:proofErr w:type="gramStart"/>
      <w:r w:rsidR="009C4EA5" w:rsidRPr="009C4EA5">
        <w:t>the</w:t>
      </w:r>
      <w:proofErr w:type="gramEnd"/>
      <w:r w:rsidR="009C4EA5" w:rsidRPr="009C4EA5">
        <w:t xml:space="preserve"> </w:t>
      </w:r>
      <w:r w:rsidR="009C4EA5" w:rsidRPr="009C4EA5">
        <w:rPr>
          <w:b/>
          <w:bCs/>
        </w:rPr>
        <w:t>Unfair Terms in</w:t>
      </w:r>
      <w:r w:rsidR="009C4EA5" w:rsidRPr="009C4EA5">
        <w:t xml:space="preserve"> </w:t>
      </w:r>
      <w:r w:rsidR="009C4EA5" w:rsidRPr="009C4EA5">
        <w:rPr>
          <w:b/>
          <w:bCs/>
        </w:rPr>
        <w:t>Consumer Contracts Regulations 1994</w:t>
      </w:r>
      <w:r w:rsidR="009C4EA5" w:rsidRPr="009C4EA5">
        <w:t xml:space="preserve"> </w:t>
      </w:r>
      <w:r w:rsidR="009C4EA5">
        <w:t>(</w:t>
      </w:r>
      <w:r w:rsidR="009C4EA5" w:rsidRPr="009C4EA5">
        <w:t>updated in 1999</w:t>
      </w:r>
      <w:r w:rsidR="009C4EA5">
        <w:t>).</w:t>
      </w:r>
      <w:r w:rsidR="009C4EA5" w:rsidRPr="009C4EA5">
        <w:t xml:space="preserve"> </w:t>
      </w:r>
      <w:r w:rsidR="009C4EA5">
        <w:t>T</w:t>
      </w:r>
      <w:r w:rsidR="009C4EA5" w:rsidRPr="009C4EA5">
        <w:t xml:space="preserve">he problem with this approach is that the new national law will not be fully integrated and </w:t>
      </w:r>
      <w:r w:rsidR="009C4EA5">
        <w:t xml:space="preserve">thus </w:t>
      </w:r>
      <w:r w:rsidR="009C4EA5" w:rsidRPr="009C4EA5">
        <w:t>may conflict with existing statutes or even duplicate remedies so that there is confusion over which national l</w:t>
      </w:r>
      <w:r w:rsidR="009C4EA5">
        <w:t>aw</w:t>
      </w:r>
      <w:r w:rsidR="009C4EA5" w:rsidRPr="009C4EA5">
        <w:t xml:space="preserve"> to rely on. In fact, this is the problem that results from the unfair terms legislation in the UK. For example, in relation to exemption clauses in consumer contracts, consumers can rely on the 1999 regulations</w:t>
      </w:r>
      <w:r w:rsidR="009C4EA5">
        <w:t xml:space="preserve"> or</w:t>
      </w:r>
      <w:r w:rsidR="009C4EA5" w:rsidRPr="009C4EA5">
        <w:t xml:space="preserve"> the </w:t>
      </w:r>
      <w:r w:rsidR="009C4EA5" w:rsidRPr="009C4EA5">
        <w:rPr>
          <w:b/>
          <w:bCs/>
        </w:rPr>
        <w:t>Unfair Contract Terms Act 1977 (UCTA 1977).</w:t>
      </w:r>
      <w:r w:rsidR="009C4EA5" w:rsidRPr="009C4EA5">
        <w:t xml:space="preserve"> This does create some uncertainty to the point that the Law Commission of England and Wales and the Law Commission of Scotland proposed new legislation to harmonise the two regimes </w:t>
      </w:r>
      <w:r w:rsidR="009C4EA5">
        <w:t xml:space="preserve">on </w:t>
      </w:r>
      <w:r w:rsidR="009C4EA5" w:rsidRPr="009C4EA5">
        <w:t xml:space="preserve">unfair terms. This resulted in the rules on unfair terms in consumer contracts being incorporated into the </w:t>
      </w:r>
      <w:r w:rsidR="009C4EA5">
        <w:rPr>
          <w:b/>
          <w:bCs/>
        </w:rPr>
        <w:t>C</w:t>
      </w:r>
      <w:r w:rsidR="009C4EA5" w:rsidRPr="009C4EA5">
        <w:rPr>
          <w:b/>
          <w:bCs/>
        </w:rPr>
        <w:t xml:space="preserve">onsumer </w:t>
      </w:r>
      <w:r w:rsidR="009C4EA5">
        <w:rPr>
          <w:b/>
          <w:bCs/>
        </w:rPr>
        <w:t>R</w:t>
      </w:r>
      <w:r w:rsidR="009C4EA5" w:rsidRPr="009C4EA5">
        <w:rPr>
          <w:b/>
          <w:bCs/>
        </w:rPr>
        <w:t xml:space="preserve">ights </w:t>
      </w:r>
      <w:r w:rsidR="009C4EA5">
        <w:rPr>
          <w:b/>
          <w:bCs/>
        </w:rPr>
        <w:t>A</w:t>
      </w:r>
      <w:r w:rsidR="009C4EA5" w:rsidRPr="009C4EA5">
        <w:rPr>
          <w:b/>
          <w:bCs/>
        </w:rPr>
        <w:t>ct 2015</w:t>
      </w:r>
      <w:r w:rsidR="009C4EA5" w:rsidRPr="009C4EA5">
        <w:t xml:space="preserve">, leaving </w:t>
      </w:r>
      <w:r w:rsidR="009C4EA5" w:rsidRPr="009C4EA5">
        <w:rPr>
          <w:b/>
          <w:bCs/>
        </w:rPr>
        <w:t>UCTA 1977</w:t>
      </w:r>
      <w:r w:rsidR="009C4EA5" w:rsidRPr="009C4EA5">
        <w:t xml:space="preserve"> to </w:t>
      </w:r>
      <w:r w:rsidR="009C4EA5">
        <w:t>c</w:t>
      </w:r>
      <w:r w:rsidR="009C4EA5" w:rsidRPr="009C4EA5">
        <w:t>over business contracts. The point is that copy</w:t>
      </w:r>
      <w:r w:rsidR="009C4EA5">
        <w:t>ing out a</w:t>
      </w:r>
      <w:r w:rsidR="009C4EA5" w:rsidRPr="009C4EA5">
        <w:t xml:space="preserve"> </w:t>
      </w:r>
      <w:r w:rsidR="009C4EA5">
        <w:t>D</w:t>
      </w:r>
      <w:r w:rsidR="009C4EA5" w:rsidRPr="009C4EA5">
        <w:t xml:space="preserve">irective verbatim will ensure compliance and allows for an easier, swift implementation process, but it may result in problems later. </w:t>
      </w:r>
    </w:p>
    <w:p w14:paraId="570689D2" w14:textId="77777777" w:rsidR="00977608" w:rsidRDefault="009C4EA5" w:rsidP="00977608">
      <w:r>
        <w:t>The alternative</w:t>
      </w:r>
      <w:r w:rsidRPr="009C4EA5">
        <w:t xml:space="preserve"> method of implementation is more involved. It means taking the </w:t>
      </w:r>
      <w:r>
        <w:t>D</w:t>
      </w:r>
      <w:r w:rsidRPr="009C4EA5">
        <w:t xml:space="preserve">irective and making any changes to existing legislation to reflect the </w:t>
      </w:r>
      <w:r w:rsidR="00CA391B">
        <w:t>D</w:t>
      </w:r>
      <w:r w:rsidRPr="009C4EA5">
        <w:t xml:space="preserve">irective. Often, many of the rights in the </w:t>
      </w:r>
      <w:r w:rsidR="00CA391B">
        <w:t>D</w:t>
      </w:r>
      <w:r w:rsidRPr="009C4EA5">
        <w:t xml:space="preserve">irective will be in national law anyway and so these provisions of national law will not need to be changed. But where the </w:t>
      </w:r>
      <w:r w:rsidR="00CA391B">
        <w:t>D</w:t>
      </w:r>
      <w:r w:rsidRPr="009C4EA5">
        <w:t>irective requires additional national provisions, the</w:t>
      </w:r>
      <w:r w:rsidR="00CA391B">
        <w:t>s</w:t>
      </w:r>
      <w:r w:rsidRPr="009C4EA5">
        <w:t xml:space="preserve">e must be added to the relevant existing statutes. </w:t>
      </w:r>
      <w:r w:rsidR="00CA391B">
        <w:t>T</w:t>
      </w:r>
      <w:r w:rsidRPr="009C4EA5">
        <w:t xml:space="preserve">his was the approach adopted by the UK when it implemented </w:t>
      </w:r>
      <w:r w:rsidR="00CA391B" w:rsidRPr="00CA391B">
        <w:rPr>
          <w:b/>
          <w:bCs/>
        </w:rPr>
        <w:t>D</w:t>
      </w:r>
      <w:r w:rsidRPr="00CA391B">
        <w:rPr>
          <w:b/>
          <w:bCs/>
        </w:rPr>
        <w:t>irective 1999</w:t>
      </w:r>
      <w:r w:rsidR="00CA391B" w:rsidRPr="00CA391B">
        <w:rPr>
          <w:b/>
          <w:bCs/>
        </w:rPr>
        <w:t>/44/</w:t>
      </w:r>
      <w:r w:rsidRPr="00CA391B">
        <w:rPr>
          <w:b/>
          <w:bCs/>
        </w:rPr>
        <w:t>EC on the sale of consumer goods and associated guarantees</w:t>
      </w:r>
      <w:r w:rsidRPr="009C4EA5">
        <w:t xml:space="preserve">. This </w:t>
      </w:r>
      <w:r w:rsidR="00CA391B">
        <w:t>D</w:t>
      </w:r>
      <w:r w:rsidRPr="009C4EA5">
        <w:t xml:space="preserve">irective provides sales law rights and remedies to consumers. It resulted in the UK amending the </w:t>
      </w:r>
      <w:r w:rsidR="00CA391B">
        <w:t>S</w:t>
      </w:r>
      <w:r w:rsidRPr="009C4EA5">
        <w:t xml:space="preserve">ale of </w:t>
      </w:r>
      <w:r w:rsidR="00CA391B">
        <w:t>G</w:t>
      </w:r>
      <w:r w:rsidRPr="009C4EA5">
        <w:t xml:space="preserve">oods act 1979 so that the new rights from the </w:t>
      </w:r>
      <w:r w:rsidR="00CA391B">
        <w:t>D</w:t>
      </w:r>
      <w:r w:rsidRPr="009C4EA5">
        <w:t>irective were integrated f</w:t>
      </w:r>
      <w:r w:rsidR="00CA391B">
        <w:t>ully.</w:t>
      </w:r>
      <w:r w:rsidRPr="009C4EA5">
        <w:t xml:space="preserve"> </w:t>
      </w:r>
      <w:r w:rsidR="00CA391B">
        <w:t>S</w:t>
      </w:r>
      <w:r w:rsidRPr="009C4EA5">
        <w:t xml:space="preserve">uch amendments required detailed consultation and debate so that implementation was delayed, booked the final result was sound. </w:t>
      </w:r>
      <w:r w:rsidR="00B3359D" w:rsidRPr="009C4EA5">
        <w:t xml:space="preserve"> </w:t>
      </w:r>
    </w:p>
    <w:p w14:paraId="30E22E35" w14:textId="77777777" w:rsidR="005C3792" w:rsidRPr="005C3792" w:rsidRDefault="005C3792" w:rsidP="00977608">
      <w:r w:rsidRPr="005C3792">
        <w:t xml:space="preserve">Directives are appropriate where it is necessary to adapt or modify rules in the </w:t>
      </w:r>
      <w:r>
        <w:t>M</w:t>
      </w:r>
      <w:r w:rsidRPr="005C3792">
        <w:t xml:space="preserve">ember </w:t>
      </w:r>
      <w:r>
        <w:t>S</w:t>
      </w:r>
      <w:r w:rsidRPr="005C3792">
        <w:t xml:space="preserve">tates because there is a divergence of approach to the subject matter of the </w:t>
      </w:r>
      <w:r>
        <w:t>D</w:t>
      </w:r>
      <w:r w:rsidRPr="005C3792">
        <w:t xml:space="preserve">irective. The EU requires uniformity of </w:t>
      </w:r>
      <w:proofErr w:type="gramStart"/>
      <w:r w:rsidRPr="005C3792">
        <w:t xml:space="preserve">result </w:t>
      </w:r>
      <w:r>
        <w:t xml:space="preserve"> but</w:t>
      </w:r>
      <w:proofErr w:type="gramEnd"/>
      <w:r>
        <w:t xml:space="preserve"> </w:t>
      </w:r>
      <w:r w:rsidRPr="005C3792">
        <w:t xml:space="preserve">does not impose the </w:t>
      </w:r>
      <w:r>
        <w:t>manner</w:t>
      </w:r>
      <w:r w:rsidRPr="005C3792">
        <w:t xml:space="preserve"> by which that uniformit</w:t>
      </w:r>
      <w:r>
        <w:t>y is</w:t>
      </w:r>
      <w:r w:rsidRPr="005C3792">
        <w:t xml:space="preserve"> to be achieved.</w:t>
      </w:r>
    </w:p>
    <w:p w14:paraId="701376D3" w14:textId="77777777" w:rsidR="005C3792" w:rsidRPr="005C3792" w:rsidRDefault="005C3792" w:rsidP="00977608">
      <w:r w:rsidRPr="005C3792">
        <w:t>Once implemented, however</w:t>
      </w:r>
      <w:r>
        <w:t xml:space="preserve">, </w:t>
      </w:r>
      <w:r w:rsidRPr="005C3792">
        <w:t xml:space="preserve">the </w:t>
      </w:r>
      <w:r>
        <w:t>D</w:t>
      </w:r>
      <w:r w:rsidRPr="005C3792">
        <w:t>irective does not altogether disappea</w:t>
      </w:r>
      <w:r>
        <w:t xml:space="preserve">r, </w:t>
      </w:r>
      <w:r w:rsidRPr="005C3792">
        <w:t>since it remains an a</w:t>
      </w:r>
      <w:r>
        <w:t>id</w:t>
      </w:r>
      <w:r w:rsidRPr="005C3792">
        <w:t xml:space="preserve"> to the interpretation of the national legislative or other measures which implemented </w:t>
      </w:r>
      <w:r>
        <w:t>(C</w:t>
      </w:r>
      <w:r w:rsidRPr="005C3792">
        <w:t>ase 14</w:t>
      </w:r>
      <w:r>
        <w:t>/</w:t>
      </w:r>
      <w:r w:rsidRPr="005C3792">
        <w:t xml:space="preserve">83 </w:t>
      </w:r>
      <w:r w:rsidRPr="005C3792">
        <w:rPr>
          <w:b/>
          <w:bCs/>
          <w:i/>
          <w:iCs/>
        </w:rPr>
        <w:t>Von Colson [1984]</w:t>
      </w:r>
      <w:r>
        <w:t>)</w:t>
      </w:r>
      <w:r w:rsidRPr="005C3792">
        <w:t xml:space="preserve">. This can even extend to the interpretation of legislation already in place which the </w:t>
      </w:r>
      <w:r>
        <w:t>Member State</w:t>
      </w:r>
      <w:r w:rsidRPr="005C3792">
        <w:t xml:space="preserve"> believes meets the requirement</w:t>
      </w:r>
      <w:r>
        <w:t>s</w:t>
      </w:r>
      <w:r w:rsidRPr="005C3792">
        <w:t xml:space="preserve"> o</w:t>
      </w:r>
      <w:r>
        <w:t>f</w:t>
      </w:r>
      <w:r w:rsidRPr="005C3792">
        <w:t xml:space="preserve"> the </w:t>
      </w:r>
      <w:r>
        <w:t>D</w:t>
      </w:r>
      <w:r w:rsidRPr="005C3792">
        <w:t xml:space="preserve">irective </w:t>
      </w:r>
      <w:r>
        <w:t>(C</w:t>
      </w:r>
      <w:r w:rsidRPr="005C3792">
        <w:t>ase C</w:t>
      </w:r>
      <w:r>
        <w:t xml:space="preserve">-106/89, </w:t>
      </w:r>
      <w:proofErr w:type="spellStart"/>
      <w:r w:rsidRPr="005C3792">
        <w:rPr>
          <w:b/>
          <w:bCs/>
          <w:i/>
          <w:iCs/>
        </w:rPr>
        <w:t>Marleasing</w:t>
      </w:r>
      <w:proofErr w:type="spellEnd"/>
      <w:r w:rsidRPr="005C3792">
        <w:rPr>
          <w:b/>
          <w:bCs/>
          <w:i/>
          <w:iCs/>
        </w:rPr>
        <w:t xml:space="preserve"> </w:t>
      </w:r>
      <w:r>
        <w:rPr>
          <w:b/>
          <w:bCs/>
          <w:i/>
          <w:iCs/>
        </w:rPr>
        <w:t>[</w:t>
      </w:r>
      <w:r w:rsidRPr="005C3792">
        <w:rPr>
          <w:b/>
          <w:bCs/>
          <w:i/>
          <w:iCs/>
        </w:rPr>
        <w:t>1990</w:t>
      </w:r>
      <w:r>
        <w:rPr>
          <w:b/>
          <w:bCs/>
          <w:i/>
          <w:iCs/>
        </w:rPr>
        <w:t>]</w:t>
      </w:r>
      <w:r>
        <w:t>)</w:t>
      </w:r>
      <w:r w:rsidRPr="005C3792">
        <w:t xml:space="preserve"> </w:t>
      </w:r>
    </w:p>
    <w:p w14:paraId="35C2791C" w14:textId="77777777" w:rsidR="00977608" w:rsidRDefault="005C3792" w:rsidP="00977608">
      <w:r w:rsidRPr="005C3792">
        <w:t xml:space="preserve">Despite the general purpose of </w:t>
      </w:r>
      <w:r>
        <w:t>D</w:t>
      </w:r>
      <w:r w:rsidRPr="005C3792">
        <w:t xml:space="preserve">irectives being to set a framework for the establishment of national rules, there is nothing to preclude </w:t>
      </w:r>
      <w:r>
        <w:t>D</w:t>
      </w:r>
      <w:r w:rsidRPr="005C3792">
        <w:t xml:space="preserve">irectives from being very precise in their requirements. In </w:t>
      </w:r>
      <w:r>
        <w:t>C</w:t>
      </w:r>
      <w:r w:rsidRPr="005C3792">
        <w:t>ase 38</w:t>
      </w:r>
      <w:r>
        <w:t>/</w:t>
      </w:r>
      <w:r w:rsidRPr="005C3792">
        <w:t xml:space="preserve">77, </w:t>
      </w:r>
      <w:r>
        <w:rPr>
          <w:b/>
          <w:bCs/>
          <w:i/>
          <w:iCs/>
        </w:rPr>
        <w:t>Enka [1977]</w:t>
      </w:r>
      <w:r w:rsidRPr="005C3792">
        <w:t xml:space="preserve">, it was </w:t>
      </w:r>
      <w:r>
        <w:t>argued</w:t>
      </w:r>
      <w:r w:rsidRPr="005C3792">
        <w:t xml:space="preserve"> that the level of detail required in a </w:t>
      </w:r>
      <w:r>
        <w:t>D</w:t>
      </w:r>
      <w:r w:rsidRPr="005C3792">
        <w:t xml:space="preserve">irective concerned with customs legislation went beyond that permissible for a </w:t>
      </w:r>
      <w:r>
        <w:t>D</w:t>
      </w:r>
      <w:r w:rsidRPr="005C3792">
        <w:t xml:space="preserve">irective. The Court of Justice did not agree. In this area, uniformity was </w:t>
      </w:r>
      <w:proofErr w:type="gramStart"/>
      <w:r w:rsidRPr="005C3792">
        <w:t>essential</w:t>
      </w:r>
      <w:proofErr w:type="gramEnd"/>
      <w:r w:rsidRPr="005C3792">
        <w:t xml:space="preserve"> and the requirement of the </w:t>
      </w:r>
      <w:r>
        <w:t>D</w:t>
      </w:r>
      <w:r w:rsidRPr="005C3792">
        <w:t>irective was properly to transpose</w:t>
      </w:r>
      <w:r>
        <w:t xml:space="preserve"> a</w:t>
      </w:r>
      <w:r w:rsidRPr="005C3792">
        <w:t xml:space="preserve"> detailed scheme into appropriate national rules of a binding legal character. The need for clarity and legal certainty was emphasised in </w:t>
      </w:r>
      <w:r>
        <w:t>C</w:t>
      </w:r>
      <w:r w:rsidRPr="005C3792">
        <w:t>ase 2</w:t>
      </w:r>
      <w:r>
        <w:t>3</w:t>
      </w:r>
      <w:r w:rsidRPr="005C3792">
        <w:t>9</w:t>
      </w:r>
      <w:r>
        <w:t>/</w:t>
      </w:r>
      <w:r w:rsidRPr="005C3792">
        <w:t xml:space="preserve">85, </w:t>
      </w:r>
      <w:r w:rsidRPr="005C3792">
        <w:rPr>
          <w:b/>
          <w:bCs/>
          <w:i/>
          <w:iCs/>
        </w:rPr>
        <w:t xml:space="preserve">Commission V Belgium </w:t>
      </w:r>
      <w:r>
        <w:rPr>
          <w:b/>
          <w:bCs/>
          <w:i/>
          <w:iCs/>
        </w:rPr>
        <w:t>[</w:t>
      </w:r>
      <w:r w:rsidRPr="005C3792">
        <w:rPr>
          <w:b/>
          <w:bCs/>
          <w:i/>
          <w:iCs/>
        </w:rPr>
        <w:t>1986</w:t>
      </w:r>
      <w:r>
        <w:rPr>
          <w:b/>
          <w:bCs/>
          <w:i/>
          <w:iCs/>
        </w:rPr>
        <w:t>]</w:t>
      </w:r>
      <w:r w:rsidRPr="005C3792">
        <w:t xml:space="preserve">, in which the </w:t>
      </w:r>
      <w:r w:rsidRPr="005C3792">
        <w:lastRenderedPageBreak/>
        <w:t xml:space="preserve">Court of Justice held that implementation of the requirements of a </w:t>
      </w:r>
      <w:r>
        <w:t>D</w:t>
      </w:r>
      <w:r w:rsidRPr="005C3792">
        <w:t xml:space="preserve">irective by means of a </w:t>
      </w:r>
      <w:proofErr w:type="spellStart"/>
      <w:proofErr w:type="gramStart"/>
      <w:r w:rsidRPr="005C3792">
        <w:t>non binding</w:t>
      </w:r>
      <w:proofErr w:type="spellEnd"/>
      <w:proofErr w:type="gramEnd"/>
      <w:r w:rsidRPr="005C3792">
        <w:t xml:space="preserve"> and </w:t>
      </w:r>
      <w:proofErr w:type="spellStart"/>
      <w:r w:rsidRPr="005C3792">
        <w:t>non enforceable</w:t>
      </w:r>
      <w:proofErr w:type="spellEnd"/>
      <w:r w:rsidRPr="005C3792">
        <w:t xml:space="preserve"> administrative circular or practice would not suffice. </w:t>
      </w:r>
    </w:p>
    <w:p w14:paraId="00ACF5C7" w14:textId="77777777" w:rsidR="00977608" w:rsidRDefault="005C3792" w:rsidP="00977608">
      <w:pPr>
        <w:rPr>
          <w:b/>
          <w:bCs/>
        </w:rPr>
      </w:pPr>
      <w:r>
        <w:rPr>
          <w:b/>
          <w:bCs/>
        </w:rPr>
        <w:t>Decisions</w:t>
      </w:r>
    </w:p>
    <w:p w14:paraId="065D752A" w14:textId="77777777" w:rsidR="005C3792" w:rsidRPr="005C3792" w:rsidRDefault="005C3792" w:rsidP="005C3792">
      <w:r w:rsidRPr="005C3792">
        <w:rPr>
          <w:lang w:val="en-US"/>
        </w:rPr>
        <w:t xml:space="preserve">The classic case law definition of a Decision is to be found in Case 54/65 </w:t>
      </w:r>
      <w:r w:rsidRPr="005C3792">
        <w:rPr>
          <w:i/>
          <w:iCs/>
          <w:lang w:val="en-US"/>
        </w:rPr>
        <w:t xml:space="preserve">Compagnie des Forges de </w:t>
      </w:r>
      <w:proofErr w:type="spellStart"/>
      <w:r w:rsidRPr="005C3792">
        <w:rPr>
          <w:i/>
          <w:iCs/>
          <w:lang w:val="en-US"/>
        </w:rPr>
        <w:t>Chattillon</w:t>
      </w:r>
      <w:proofErr w:type="spellEnd"/>
      <w:r w:rsidRPr="005C3792">
        <w:rPr>
          <w:i/>
          <w:iCs/>
          <w:lang w:val="en-US"/>
        </w:rPr>
        <w:t xml:space="preserve"> [1966]:</w:t>
      </w:r>
    </w:p>
    <w:p w14:paraId="4A6483A1" w14:textId="77777777" w:rsidR="005C3792" w:rsidRPr="005C3792" w:rsidRDefault="005C3792" w:rsidP="00651CAA">
      <w:r w:rsidRPr="005C3792">
        <w:rPr>
          <w:i/>
          <w:iCs/>
          <w:lang w:val="en-US"/>
        </w:rPr>
        <w:t>“</w:t>
      </w:r>
      <w:r w:rsidRPr="005C3792">
        <w:rPr>
          <w:i/>
          <w:iCs/>
        </w:rPr>
        <w:t>A measure emanating from the competent authority, intended to produce legal effects and constituting the combination of procedure within that authority, whereby the latter gives its final ruling in a form from which its nature can be identified. “</w:t>
      </w:r>
    </w:p>
    <w:p w14:paraId="0D1AA5BE" w14:textId="77777777" w:rsidR="00977608" w:rsidRDefault="00651CAA" w:rsidP="00977608">
      <w:r>
        <w:rPr>
          <w:b/>
          <w:bCs/>
        </w:rPr>
        <w:t xml:space="preserve">Art 288 TFEU </w:t>
      </w:r>
      <w:r>
        <w:t>states</w:t>
      </w:r>
    </w:p>
    <w:p w14:paraId="525533FA" w14:textId="77777777" w:rsidR="00977608" w:rsidRDefault="00651CAA" w:rsidP="00977608">
      <w:pPr>
        <w:rPr>
          <w:i/>
          <w:iCs/>
        </w:rPr>
      </w:pPr>
      <w:r>
        <w:rPr>
          <w:i/>
          <w:iCs/>
        </w:rPr>
        <w:t>A decision shall be binding in its entirety.  A decision which specifies those to whom it is addressed shall be binding only on them.</w:t>
      </w:r>
    </w:p>
    <w:p w14:paraId="29B7E260" w14:textId="77777777" w:rsidR="00651CAA" w:rsidRDefault="00651CAA" w:rsidP="00651CAA">
      <w:pPr>
        <w:rPr>
          <w:lang w:val="en-US"/>
        </w:rPr>
      </w:pPr>
      <w:r w:rsidRPr="00651CAA">
        <w:rPr>
          <w:lang w:val="en-US"/>
        </w:rPr>
        <w:t xml:space="preserve">Decisions may be addressed to individuals, to corporations or to </w:t>
      </w:r>
      <w:proofErr w:type="spellStart"/>
      <w:r w:rsidRPr="00651CAA">
        <w:rPr>
          <w:lang w:val="en-US"/>
        </w:rPr>
        <w:t>MSs.</w:t>
      </w:r>
      <w:proofErr w:type="spellEnd"/>
      <w:r w:rsidRPr="00651CAA">
        <w:rPr>
          <w:lang w:val="en-US"/>
        </w:rPr>
        <w:t xml:space="preserve"> They are generally of an executive or administrative character and implement other EU rules.</w:t>
      </w:r>
      <w:r>
        <w:rPr>
          <w:lang w:val="en-US"/>
        </w:rPr>
        <w:t xml:space="preserve">  A good example is a Commission Decision granting some exemption from the application of the competition rules.</w:t>
      </w:r>
    </w:p>
    <w:p w14:paraId="0E744D93" w14:textId="77777777" w:rsidR="00651CAA" w:rsidRDefault="00651CAA" w:rsidP="00651CAA">
      <w:pPr>
        <w:rPr>
          <w:b/>
          <w:bCs/>
          <w:i/>
          <w:iCs/>
          <w:lang w:val="en-US"/>
        </w:rPr>
      </w:pPr>
      <w:r w:rsidRPr="00651CAA">
        <w:rPr>
          <w:lang w:val="en-US"/>
        </w:rPr>
        <w:t xml:space="preserve">No special form is required it is perfectly possible for a letter to constitute a Decision: Joined Cases 8-11/66, </w:t>
      </w:r>
      <w:proofErr w:type="spellStart"/>
      <w:r w:rsidRPr="00651CAA">
        <w:rPr>
          <w:b/>
          <w:bCs/>
          <w:i/>
          <w:iCs/>
          <w:lang w:val="en-US"/>
        </w:rPr>
        <w:t>Noordwijks</w:t>
      </w:r>
      <w:proofErr w:type="spellEnd"/>
      <w:r w:rsidRPr="00651CAA">
        <w:rPr>
          <w:b/>
          <w:bCs/>
          <w:i/>
          <w:iCs/>
          <w:lang w:val="en-US"/>
        </w:rPr>
        <w:t xml:space="preserve"> Cement Accord [1967].</w:t>
      </w:r>
    </w:p>
    <w:p w14:paraId="1ED0CBEF" w14:textId="77777777" w:rsidR="00455B3B" w:rsidRDefault="00455B3B" w:rsidP="00651CAA">
      <w:pPr>
        <w:rPr>
          <w:lang w:val="en-US"/>
        </w:rPr>
      </w:pPr>
    </w:p>
    <w:p w14:paraId="4B2C46E5" w14:textId="77777777" w:rsidR="00455B3B" w:rsidRPr="00455B3B" w:rsidRDefault="00455B3B" w:rsidP="00651CAA">
      <w:pPr>
        <w:rPr>
          <w:b/>
          <w:bCs/>
          <w:lang w:val="en-US"/>
        </w:rPr>
      </w:pPr>
      <w:r>
        <w:rPr>
          <w:b/>
          <w:bCs/>
          <w:lang w:val="en-US"/>
        </w:rPr>
        <w:t>Non-legislative acts: delegated acts and implementing acts</w:t>
      </w:r>
    </w:p>
    <w:p w14:paraId="7CA8AC6F" w14:textId="77777777" w:rsidR="00651CAA" w:rsidRPr="00651CAA" w:rsidRDefault="00651CAA" w:rsidP="00651CAA">
      <w:r w:rsidRPr="00651CAA">
        <w:rPr>
          <w:lang w:val="en-US"/>
        </w:rPr>
        <w:t>Under Articles 290 and 291 TFEU, the Council and the EP can give the Commission the power to adopt delegated and implementing acts.  This distinction between delegated and implementing acts was introduced by the Treaty of Lisbon.  Delegated and implementing acts are classed as non-legislative acts because they do not go through the ordinary or special legislative procedure.</w:t>
      </w:r>
    </w:p>
    <w:p w14:paraId="6DEC1815" w14:textId="77777777" w:rsidR="00651CAA" w:rsidRDefault="00651CAA" w:rsidP="00651CAA">
      <w:pPr>
        <w:rPr>
          <w:lang w:val="en-US"/>
        </w:rPr>
      </w:pPr>
      <w:r w:rsidRPr="00651CAA">
        <w:rPr>
          <w:lang w:val="en-US"/>
        </w:rPr>
        <w:t xml:space="preserve">Delegated Acts </w:t>
      </w:r>
      <w:r w:rsidR="00455B3B">
        <w:rPr>
          <w:lang w:val="en-US"/>
        </w:rPr>
        <w:t xml:space="preserve">are </w:t>
      </w:r>
      <w:r w:rsidRPr="00651CAA">
        <w:rPr>
          <w:lang w:val="en-US"/>
        </w:rPr>
        <w:t xml:space="preserve">often needed to bring non-essential elements of a law up to date with scientific progress or market developments.  </w:t>
      </w:r>
      <w:r w:rsidR="00455B3B">
        <w:rPr>
          <w:lang w:val="en-US"/>
        </w:rPr>
        <w:t>A legislative act could be a parent act delegating powers to the Commission to issue Regulations.  Such Commission acts are scrutinized by the EP and the Council.  A</w:t>
      </w:r>
      <w:r w:rsidRPr="00651CAA">
        <w:rPr>
          <w:lang w:val="en-US"/>
        </w:rPr>
        <w:t xml:space="preserve"> delegated act will have the word “delegated” in the title.</w:t>
      </w:r>
    </w:p>
    <w:p w14:paraId="1564BDEA" w14:textId="77777777" w:rsidR="00455B3B" w:rsidRPr="00455B3B" w:rsidRDefault="00455B3B" w:rsidP="00455B3B">
      <w:r w:rsidRPr="00455B3B">
        <w:rPr>
          <w:lang w:val="en-US"/>
        </w:rPr>
        <w:t>Implementing acts are needed to ensure that the main legislative acts are implemented in a uniform way throughout the EU.  They are scrutinized by Governments of MSs using a committee consisting of their representatives.</w:t>
      </w:r>
    </w:p>
    <w:p w14:paraId="54D67D38" w14:textId="77777777" w:rsidR="00455B3B" w:rsidRPr="00455B3B" w:rsidRDefault="00455B3B" w:rsidP="00455B3B">
      <w:r w:rsidRPr="00455B3B">
        <w:rPr>
          <w:lang w:val="en-US"/>
        </w:rPr>
        <w:t xml:space="preserve">There is also </w:t>
      </w:r>
      <w:r w:rsidRPr="00455B3B">
        <w:rPr>
          <w:b/>
          <w:bCs/>
          <w:lang w:val="en-US"/>
        </w:rPr>
        <w:t>Regulation 182/2011</w:t>
      </w:r>
      <w:r w:rsidRPr="00455B3B">
        <w:rPr>
          <w:lang w:val="en-US"/>
        </w:rPr>
        <w:t xml:space="preserve"> which provides detailed rules and procedures in relation to implementing acts and the role of those involved.  An implementing act will have the word “implementing” in the title. </w:t>
      </w:r>
    </w:p>
    <w:p w14:paraId="438EA48F" w14:textId="77777777" w:rsidR="00651CAA" w:rsidRDefault="001B0E9F" w:rsidP="00651CAA">
      <w:pPr>
        <w:rPr>
          <w:b/>
          <w:bCs/>
        </w:rPr>
      </w:pPr>
      <w:r>
        <w:rPr>
          <w:b/>
          <w:bCs/>
        </w:rPr>
        <w:t>Giving Reasons</w:t>
      </w:r>
    </w:p>
    <w:p w14:paraId="524BEC46" w14:textId="77777777" w:rsidR="001B0E9F" w:rsidRDefault="001B0E9F" w:rsidP="00651CAA">
      <w:r>
        <w:rPr>
          <w:b/>
          <w:bCs/>
        </w:rPr>
        <w:t xml:space="preserve">Art 296 TFEU </w:t>
      </w:r>
      <w:r w:rsidRPr="001B0E9F">
        <w:t xml:space="preserve">Contains the important rule that </w:t>
      </w:r>
      <w:r>
        <w:t>R</w:t>
      </w:r>
      <w:r w:rsidRPr="001B0E9F">
        <w:t>egulations</w:t>
      </w:r>
      <w:r>
        <w:t>,</w:t>
      </w:r>
      <w:r w:rsidRPr="001B0E9F">
        <w:t xml:space="preserve"> </w:t>
      </w:r>
      <w:r>
        <w:t>D</w:t>
      </w:r>
      <w:r w:rsidRPr="001B0E9F">
        <w:t xml:space="preserve">irectives and </w:t>
      </w:r>
      <w:r>
        <w:t>D</w:t>
      </w:r>
      <w:r w:rsidRPr="001B0E9F">
        <w:t xml:space="preserve">ecisions must state the reasons on which they are based and must refer to the opinions of the European </w:t>
      </w:r>
      <w:r>
        <w:t>E</w:t>
      </w:r>
      <w:r w:rsidRPr="001B0E9F">
        <w:t xml:space="preserve">conomic and </w:t>
      </w:r>
      <w:r>
        <w:t>S</w:t>
      </w:r>
      <w:r w:rsidRPr="001B0E9F">
        <w:t xml:space="preserve">ocial </w:t>
      </w:r>
      <w:r>
        <w:t>C</w:t>
      </w:r>
      <w:r w:rsidRPr="001B0E9F">
        <w:t>ommittee or EP where</w:t>
      </w:r>
      <w:r>
        <w:t xml:space="preserve"> </w:t>
      </w:r>
      <w:r w:rsidRPr="001B0E9F">
        <w:t xml:space="preserve">the obtaining of such opinions is required by the </w:t>
      </w:r>
      <w:r>
        <w:t>T</w:t>
      </w:r>
      <w:r w:rsidRPr="001B0E9F">
        <w:t xml:space="preserve">reaty. The requirement to state reasons means that it must be clear which provision of the </w:t>
      </w:r>
      <w:r>
        <w:t>T</w:t>
      </w:r>
      <w:r w:rsidRPr="001B0E9F">
        <w:t xml:space="preserve">reaty is relied on as entitling the institution to act and what justification exists for the particular </w:t>
      </w:r>
      <w:proofErr w:type="gramStart"/>
      <w:r w:rsidRPr="001B0E9F">
        <w:t>act .</w:t>
      </w:r>
      <w:proofErr w:type="gramEnd"/>
      <w:r w:rsidRPr="001B0E9F">
        <w:t xml:space="preserve"> This enables those affected by the legislation to follow the line of reasoning which prompted the act. </w:t>
      </w:r>
    </w:p>
    <w:p w14:paraId="45B4099A" w14:textId="77777777" w:rsidR="001B0E9F" w:rsidRPr="001B0E9F" w:rsidRDefault="001B0E9F" w:rsidP="00651CAA">
      <w:r w:rsidRPr="001B0E9F">
        <w:lastRenderedPageBreak/>
        <w:t xml:space="preserve">In </w:t>
      </w:r>
      <w:r>
        <w:t>C</w:t>
      </w:r>
      <w:r w:rsidRPr="001B0E9F">
        <w:t>ase 24</w:t>
      </w:r>
      <w:r>
        <w:t>/</w:t>
      </w:r>
      <w:r w:rsidRPr="001B0E9F">
        <w:t>62</w:t>
      </w:r>
      <w:r w:rsidRPr="001B0E9F">
        <w:rPr>
          <w:b/>
          <w:bCs/>
          <w:i/>
          <w:iCs/>
        </w:rPr>
        <w:t>, Commission V Germany (</w:t>
      </w:r>
      <w:proofErr w:type="spellStart"/>
      <w:r w:rsidRPr="001B0E9F">
        <w:rPr>
          <w:b/>
          <w:bCs/>
          <w:i/>
          <w:iCs/>
        </w:rPr>
        <w:t>Brennwein</w:t>
      </w:r>
      <w:proofErr w:type="spellEnd"/>
      <w:r w:rsidRPr="001B0E9F">
        <w:rPr>
          <w:b/>
          <w:bCs/>
          <w:i/>
          <w:iCs/>
        </w:rPr>
        <w:t>) [1963</w:t>
      </w:r>
      <w:proofErr w:type="gramStart"/>
      <w:r w:rsidRPr="001B0E9F">
        <w:rPr>
          <w:b/>
          <w:bCs/>
          <w:i/>
          <w:iCs/>
        </w:rPr>
        <w:t>]</w:t>
      </w:r>
      <w:r>
        <w:t xml:space="preserve">, </w:t>
      </w:r>
      <w:r w:rsidRPr="001B0E9F">
        <w:t xml:space="preserve"> </w:t>
      </w:r>
      <w:r>
        <w:t>the</w:t>
      </w:r>
      <w:proofErr w:type="gramEnd"/>
      <w:r>
        <w:t xml:space="preserve"> </w:t>
      </w:r>
      <w:r w:rsidRPr="001B0E9F">
        <w:t xml:space="preserve">court struck down a decision limiting the production of German table wine which simply </w:t>
      </w:r>
      <w:proofErr w:type="spellStart"/>
      <w:r w:rsidRPr="001B0E9F">
        <w:t>refer</w:t>
      </w:r>
      <w:r>
        <w:t>ed</w:t>
      </w:r>
      <w:proofErr w:type="spellEnd"/>
      <w:r w:rsidRPr="001B0E9F">
        <w:t xml:space="preserve"> to existing information about production levels without indicating the nature of that information. The Court of Justice explained, in an OFT quoted passage</w:t>
      </w:r>
      <w:r>
        <w:t xml:space="preserve">, </w:t>
      </w:r>
      <w:r w:rsidRPr="001B0E9F">
        <w:t xml:space="preserve">the purpose of </w:t>
      </w:r>
      <w:r>
        <w:rPr>
          <w:b/>
          <w:bCs/>
        </w:rPr>
        <w:t>Art</w:t>
      </w:r>
      <w:r w:rsidRPr="001B0E9F">
        <w:rPr>
          <w:b/>
          <w:bCs/>
        </w:rPr>
        <w:t xml:space="preserve"> 296</w:t>
      </w:r>
      <w:r w:rsidRPr="001B0E9F">
        <w:t>:</w:t>
      </w:r>
    </w:p>
    <w:p w14:paraId="26E1406C" w14:textId="77777777" w:rsidR="001B0E9F" w:rsidRPr="001B0E9F" w:rsidRDefault="001B0E9F" w:rsidP="00651CAA">
      <w:r>
        <w:t>“A</w:t>
      </w:r>
      <w:r w:rsidRPr="001B0E9F">
        <w:t xml:space="preserve">rticle </w:t>
      </w:r>
      <w:r>
        <w:t>[</w:t>
      </w:r>
      <w:r w:rsidRPr="001B0E9F">
        <w:t>296</w:t>
      </w:r>
      <w:r>
        <w:t>]</w:t>
      </w:r>
      <w:r w:rsidRPr="001B0E9F">
        <w:t xml:space="preserve"> is not taking me</w:t>
      </w:r>
      <w:r>
        <w:t>re</w:t>
      </w:r>
      <w:r w:rsidRPr="001B0E9F">
        <w:t xml:space="preserve"> formal considerations into account </w:t>
      </w:r>
      <w:r w:rsidR="00AA3661">
        <w:t>but seeks</w:t>
      </w:r>
      <w:r w:rsidRPr="001B0E9F">
        <w:t xml:space="preserve"> to give an opportunity to the parties of defending their rights</w:t>
      </w:r>
      <w:r w:rsidR="00AA3661">
        <w:t>,</w:t>
      </w:r>
      <w:r w:rsidRPr="001B0E9F">
        <w:t xml:space="preserve"> to the court of exercising its supervisory functions and to </w:t>
      </w:r>
      <w:r w:rsidR="00AA3661">
        <w:t>M</w:t>
      </w:r>
      <w:r w:rsidRPr="001B0E9F">
        <w:t xml:space="preserve">ember </w:t>
      </w:r>
      <w:r w:rsidR="00AA3661">
        <w:t>S</w:t>
      </w:r>
      <w:r w:rsidRPr="001B0E9F">
        <w:t xml:space="preserve">tates </w:t>
      </w:r>
      <w:r w:rsidR="00AA3661">
        <w:t xml:space="preserve">and to </w:t>
      </w:r>
      <w:r w:rsidRPr="001B0E9F">
        <w:t xml:space="preserve">all interested </w:t>
      </w:r>
      <w:r w:rsidR="00AA3661">
        <w:t>n</w:t>
      </w:r>
      <w:r w:rsidRPr="001B0E9F">
        <w:t xml:space="preserve">ationals </w:t>
      </w:r>
      <w:r w:rsidR="00AA3661">
        <w:t>of ascertaining</w:t>
      </w:r>
      <w:r w:rsidRPr="001B0E9F">
        <w:t xml:space="preserve"> the circumstances in which the </w:t>
      </w:r>
      <w:r w:rsidR="00AA3661">
        <w:t>[</w:t>
      </w:r>
      <w:r w:rsidRPr="001B0E9F">
        <w:t>institution</w:t>
      </w:r>
      <w:r w:rsidR="00AA3661">
        <w:t>]</w:t>
      </w:r>
      <w:r w:rsidRPr="001B0E9F">
        <w:t xml:space="preserve"> has applied the </w:t>
      </w:r>
      <w:r w:rsidR="00AA3661">
        <w:t>T</w:t>
      </w:r>
      <w:r w:rsidRPr="001B0E9F">
        <w:t>reaty.</w:t>
      </w:r>
      <w:r w:rsidR="00AA3661">
        <w:t>”</w:t>
      </w:r>
    </w:p>
    <w:p w14:paraId="2A714328" w14:textId="77777777" w:rsidR="001B0E9F" w:rsidRPr="00AA3661" w:rsidRDefault="001B0E9F" w:rsidP="00651CAA">
      <w:pPr>
        <w:rPr>
          <w:b/>
          <w:bCs/>
        </w:rPr>
      </w:pPr>
      <w:r w:rsidRPr="001B0E9F">
        <w:t>The Court of Justice has also made clear that the degree of specifi</w:t>
      </w:r>
      <w:r w:rsidR="00AA3661">
        <w:t>city</w:t>
      </w:r>
      <w:r w:rsidRPr="001B0E9F">
        <w:t xml:space="preserve"> in the reasons given will depend on the nature of the EU act. If the act is general</w:t>
      </w:r>
      <w:r w:rsidR="00AA3661">
        <w:t xml:space="preserve"> in </w:t>
      </w:r>
      <w:r w:rsidRPr="001B0E9F">
        <w:t xml:space="preserve">nature and </w:t>
      </w:r>
      <w:proofErr w:type="gramStart"/>
      <w:r w:rsidRPr="001B0E9F">
        <w:t>objectives</w:t>
      </w:r>
      <w:r w:rsidR="00AA3661">
        <w:t xml:space="preserve">,  </w:t>
      </w:r>
      <w:r w:rsidRPr="001B0E9F">
        <w:t>the</w:t>
      </w:r>
      <w:proofErr w:type="gramEnd"/>
      <w:r w:rsidRPr="001B0E9F">
        <w:t xml:space="preserve"> reasons may also be expressed in terms of general objectives. If the act is specific in nature, specific information should appear in the reasons </w:t>
      </w:r>
      <w:r w:rsidR="00AA3661">
        <w:t>(C</w:t>
      </w:r>
      <w:r w:rsidRPr="001B0E9F">
        <w:t>ase 5</w:t>
      </w:r>
      <w:r w:rsidR="00AA3661">
        <w:t>/</w:t>
      </w:r>
      <w:r w:rsidRPr="001B0E9F">
        <w:t>67</w:t>
      </w:r>
      <w:r w:rsidR="00AA3661">
        <w:t>,</w:t>
      </w:r>
      <w:r w:rsidRPr="001B0E9F">
        <w:t xml:space="preserve"> </w:t>
      </w:r>
      <w:proofErr w:type="spellStart"/>
      <w:r w:rsidR="00AA3661" w:rsidRPr="00AA3661">
        <w:rPr>
          <w:b/>
          <w:bCs/>
          <w:i/>
          <w:iCs/>
        </w:rPr>
        <w:t>Beus</w:t>
      </w:r>
      <w:proofErr w:type="spellEnd"/>
      <w:r w:rsidRPr="00AA3661">
        <w:rPr>
          <w:b/>
          <w:bCs/>
          <w:i/>
          <w:iCs/>
        </w:rPr>
        <w:t xml:space="preserve"> </w:t>
      </w:r>
      <w:r w:rsidR="00AA3661" w:rsidRPr="00AA3661">
        <w:rPr>
          <w:b/>
          <w:bCs/>
          <w:i/>
          <w:iCs/>
        </w:rPr>
        <w:t>[</w:t>
      </w:r>
      <w:r w:rsidRPr="00AA3661">
        <w:rPr>
          <w:b/>
          <w:bCs/>
          <w:i/>
          <w:iCs/>
        </w:rPr>
        <w:t>1968</w:t>
      </w:r>
      <w:r w:rsidR="00AA3661" w:rsidRPr="00AA3661">
        <w:rPr>
          <w:b/>
          <w:bCs/>
          <w:i/>
          <w:iCs/>
        </w:rPr>
        <w:t>]</w:t>
      </w:r>
      <w:r w:rsidRPr="001B0E9F">
        <w:t xml:space="preserve">. The reasoning may incorporate another document by reference, but that document should be a published document </w:t>
      </w:r>
      <w:r w:rsidR="00AA3661">
        <w:t xml:space="preserve">or a </w:t>
      </w:r>
      <w:r w:rsidRPr="001B0E9F">
        <w:t xml:space="preserve">document readily available to all interested parties. Unreasonably refusing public access to documents in the </w:t>
      </w:r>
      <w:r w:rsidR="00AA3661">
        <w:t>C</w:t>
      </w:r>
      <w:r w:rsidRPr="001B0E9F">
        <w:t xml:space="preserve">ommission's possession, combined with failing to state reasons for refusing access, may amount to a breach of </w:t>
      </w:r>
      <w:r w:rsidR="00AA3661">
        <w:t>Art 296</w:t>
      </w:r>
      <w:r w:rsidRPr="001B0E9F">
        <w:t xml:space="preserve"> </w:t>
      </w:r>
      <w:r w:rsidR="00AA3661">
        <w:t>(C</w:t>
      </w:r>
      <w:r w:rsidRPr="001B0E9F">
        <w:t>ase</w:t>
      </w:r>
      <w:r w:rsidR="00AA3661">
        <w:t xml:space="preserve"> T-105/95,</w:t>
      </w:r>
      <w:r w:rsidRPr="001B0E9F">
        <w:t xml:space="preserve"> </w:t>
      </w:r>
      <w:r w:rsidR="00AA3661" w:rsidRPr="00AA3661">
        <w:rPr>
          <w:b/>
          <w:bCs/>
        </w:rPr>
        <w:t>T</w:t>
      </w:r>
      <w:r w:rsidRPr="00AA3661">
        <w:rPr>
          <w:b/>
          <w:bCs/>
        </w:rPr>
        <w:t>he World Wildlife Fund UK against European Commission</w:t>
      </w:r>
      <w:r w:rsidR="00AA3661">
        <w:rPr>
          <w:b/>
          <w:bCs/>
        </w:rPr>
        <w:t xml:space="preserve"> [1997]. </w:t>
      </w:r>
    </w:p>
    <w:p w14:paraId="562A19CA" w14:textId="77777777" w:rsidR="00651CAA" w:rsidRDefault="00AA3661" w:rsidP="00651CAA">
      <w:r>
        <w:t>It makes sense</w:t>
      </w:r>
      <w:r w:rsidR="001B0E9F" w:rsidRPr="001B0E9F">
        <w:t xml:space="preserve"> for the legal provision to give reasons. It will make the purpose of the measure much clearer and will therefore aid interpretation and</w:t>
      </w:r>
      <w:r>
        <w:t xml:space="preserve">, </w:t>
      </w:r>
      <w:r w:rsidR="001B0E9F" w:rsidRPr="001B0E9F">
        <w:t xml:space="preserve">in the case of </w:t>
      </w:r>
      <w:r>
        <w:t>D</w:t>
      </w:r>
      <w:r w:rsidR="001B0E9F" w:rsidRPr="001B0E9F">
        <w:t>irectives, implementation. It will also make part</w:t>
      </w:r>
      <w:r>
        <w:t xml:space="preserve">ies </w:t>
      </w:r>
      <w:r w:rsidR="001B0E9F" w:rsidRPr="001B0E9F">
        <w:t>much more likely to adhere to the measure. Think about how you feel with rules and regulations imposed on you. If you know why the rule is imposed, you are more likely to follow it th</w:t>
      </w:r>
      <w:r>
        <w:t>a</w:t>
      </w:r>
      <w:r w:rsidR="001B0E9F" w:rsidRPr="001B0E9F">
        <w:t xml:space="preserve">n if you do not know and have no way of finding out. None of us like following pointless rules! </w:t>
      </w:r>
    </w:p>
    <w:p w14:paraId="282C466E" w14:textId="77777777" w:rsidR="00651CAA" w:rsidRDefault="00AA3661" w:rsidP="00651CAA">
      <w:pPr>
        <w:rPr>
          <w:b/>
          <w:bCs/>
        </w:rPr>
      </w:pPr>
      <w:r>
        <w:rPr>
          <w:b/>
          <w:bCs/>
        </w:rPr>
        <w:t>Other binding acts</w:t>
      </w:r>
    </w:p>
    <w:p w14:paraId="4596C0F4" w14:textId="77777777" w:rsidR="00016486" w:rsidRPr="00016486" w:rsidRDefault="00016486" w:rsidP="00651CAA">
      <w:r w:rsidRPr="00016486">
        <w:t>B</w:t>
      </w:r>
      <w:r>
        <w:t>inding acts under</w:t>
      </w:r>
      <w:r w:rsidRPr="00016486">
        <w:t xml:space="preserve"> EU law are not restricted to those listed in </w:t>
      </w:r>
      <w:r w:rsidRPr="00016486">
        <w:rPr>
          <w:b/>
          <w:bCs/>
        </w:rPr>
        <w:t>Art 288 TFEU</w:t>
      </w:r>
      <w:r w:rsidRPr="00016486">
        <w:t xml:space="preserve">. Decisions of the Court of Justice are binding on the parties, though not legislative in </w:t>
      </w:r>
      <w:proofErr w:type="gramStart"/>
      <w:r w:rsidRPr="00016486">
        <w:t>character .</w:t>
      </w:r>
      <w:proofErr w:type="gramEnd"/>
    </w:p>
    <w:p w14:paraId="4375260F" w14:textId="77777777" w:rsidR="00016486" w:rsidRPr="00016486" w:rsidRDefault="00016486" w:rsidP="00651CAA">
      <w:r w:rsidRPr="00016486">
        <w:t>International agreements concluded with non</w:t>
      </w:r>
      <w:r>
        <w:t>-</w:t>
      </w:r>
      <w:r w:rsidRPr="00016486">
        <w:t xml:space="preserve">EU states are binding on the EU and on </w:t>
      </w:r>
      <w:r>
        <w:t>M</w:t>
      </w:r>
      <w:r w:rsidRPr="00016486">
        <w:t xml:space="preserve">ember </w:t>
      </w:r>
      <w:r>
        <w:t>S</w:t>
      </w:r>
      <w:r w:rsidRPr="00016486">
        <w:t>tates.</w:t>
      </w:r>
    </w:p>
    <w:p w14:paraId="0041E9FD" w14:textId="77777777" w:rsidR="00651CAA" w:rsidRDefault="00016486" w:rsidP="00651CAA">
      <w:r w:rsidRPr="00016486">
        <w:t xml:space="preserve">It was also established in </w:t>
      </w:r>
      <w:r>
        <w:t>C</w:t>
      </w:r>
      <w:r w:rsidRPr="00016486">
        <w:t>ase 22</w:t>
      </w:r>
      <w:r>
        <w:t>/</w:t>
      </w:r>
      <w:r w:rsidRPr="00016486">
        <w:t xml:space="preserve">70 </w:t>
      </w:r>
      <w:r w:rsidRPr="00016486">
        <w:rPr>
          <w:b/>
          <w:bCs/>
          <w:i/>
          <w:iCs/>
        </w:rPr>
        <w:t>Commission V Council (the ERTA Case) [1971]</w:t>
      </w:r>
      <w:r w:rsidRPr="00016486">
        <w:t xml:space="preserve">, that </w:t>
      </w:r>
      <w:r>
        <w:t>a</w:t>
      </w:r>
      <w:r w:rsidRPr="00016486">
        <w:t xml:space="preserve"> discussion in </w:t>
      </w:r>
      <w:r>
        <w:t>C</w:t>
      </w:r>
      <w:r w:rsidRPr="00016486">
        <w:t xml:space="preserve">ouncil that results in a conclusion binding on any institution or </w:t>
      </w:r>
      <w:r>
        <w:t>M</w:t>
      </w:r>
      <w:r w:rsidRPr="00016486">
        <w:t xml:space="preserve">ember </w:t>
      </w:r>
      <w:r>
        <w:t>S</w:t>
      </w:r>
      <w:r w:rsidRPr="00016486">
        <w:t xml:space="preserve">tate can be a binding act, even though that conclusion does not take the form of a </w:t>
      </w:r>
      <w:r>
        <w:t>R</w:t>
      </w:r>
      <w:r w:rsidRPr="00016486">
        <w:t>egulation</w:t>
      </w:r>
      <w:r>
        <w:t>, D</w:t>
      </w:r>
      <w:r w:rsidRPr="00016486">
        <w:t xml:space="preserve">irective or </w:t>
      </w:r>
      <w:r>
        <w:t>D</w:t>
      </w:r>
      <w:r w:rsidRPr="00016486">
        <w:t>ecision</w:t>
      </w:r>
      <w:r>
        <w:t>.</w:t>
      </w:r>
      <w:r w:rsidRPr="00016486">
        <w:t xml:space="preserve"> </w:t>
      </w:r>
      <w:r>
        <w:t>C</w:t>
      </w:r>
      <w:r w:rsidRPr="00016486">
        <w:t>onsequently</w:t>
      </w:r>
      <w:r>
        <w:t xml:space="preserve">, </w:t>
      </w:r>
      <w:r w:rsidRPr="00016486">
        <w:t xml:space="preserve">the provisions of </w:t>
      </w:r>
      <w:r>
        <w:rPr>
          <w:b/>
          <w:bCs/>
        </w:rPr>
        <w:t>A</w:t>
      </w:r>
      <w:r w:rsidRPr="00016486">
        <w:rPr>
          <w:b/>
          <w:bCs/>
        </w:rPr>
        <w:t>rt 296 TFEU</w:t>
      </w:r>
      <w:r w:rsidRPr="00016486">
        <w:t xml:space="preserve"> do not apply. In this case</w:t>
      </w:r>
      <w:r>
        <w:t xml:space="preserve">, </w:t>
      </w:r>
      <w:r w:rsidRPr="00016486">
        <w:t xml:space="preserve">the discussion in question related to the procedure to be adopted by </w:t>
      </w:r>
      <w:r>
        <w:t>M</w:t>
      </w:r>
      <w:r w:rsidRPr="00016486">
        <w:t xml:space="preserve">ember </w:t>
      </w:r>
      <w:r>
        <w:t>S</w:t>
      </w:r>
      <w:r w:rsidRPr="00016486">
        <w:t>tates for the negotiation</w:t>
      </w:r>
      <w:r>
        <w:t xml:space="preserve"> of</w:t>
      </w:r>
      <w:r w:rsidRPr="00016486">
        <w:t xml:space="preserve"> revisions to the European </w:t>
      </w:r>
      <w:r>
        <w:t>R</w:t>
      </w:r>
      <w:r w:rsidRPr="00016486">
        <w:t xml:space="preserve">oad </w:t>
      </w:r>
      <w:r>
        <w:t>T</w:t>
      </w:r>
      <w:r w:rsidRPr="00016486">
        <w:t xml:space="preserve">ransport </w:t>
      </w:r>
      <w:r>
        <w:t>A</w:t>
      </w:r>
      <w:r w:rsidRPr="00016486">
        <w:t xml:space="preserve">greement. The Commission took the view that the </w:t>
      </w:r>
      <w:r>
        <w:t>C</w:t>
      </w:r>
      <w:r w:rsidRPr="00016486">
        <w:t xml:space="preserve">ouncil was trespassing on ground reserved </w:t>
      </w:r>
      <w:r>
        <w:t xml:space="preserve">for </w:t>
      </w:r>
      <w:r w:rsidRPr="00016486">
        <w:t xml:space="preserve">the Commission </w:t>
      </w:r>
      <w:r>
        <w:t xml:space="preserve">and </w:t>
      </w:r>
      <w:r w:rsidRPr="00016486">
        <w:t>successfully so</w:t>
      </w:r>
      <w:r>
        <w:t>ught</w:t>
      </w:r>
      <w:r w:rsidRPr="00016486">
        <w:t xml:space="preserve"> the </w:t>
      </w:r>
      <w:r>
        <w:t>annulmen</w:t>
      </w:r>
      <w:r w:rsidRPr="00016486">
        <w:t xml:space="preserve">t of the outcome of the decision. </w:t>
      </w:r>
    </w:p>
    <w:p w14:paraId="7BBA4EE5" w14:textId="77777777" w:rsidR="00651CAA" w:rsidRDefault="00016486" w:rsidP="00651CAA">
      <w:pPr>
        <w:rPr>
          <w:b/>
          <w:bCs/>
        </w:rPr>
      </w:pPr>
      <w:r>
        <w:rPr>
          <w:b/>
          <w:bCs/>
        </w:rPr>
        <w:t>Recommendations and Opinions</w:t>
      </w:r>
    </w:p>
    <w:p w14:paraId="3571AC0B" w14:textId="77777777" w:rsidR="00651CAA" w:rsidRDefault="00016486" w:rsidP="00651CAA">
      <w:r>
        <w:rPr>
          <w:b/>
          <w:bCs/>
        </w:rPr>
        <w:t xml:space="preserve">Art 288 TFEU </w:t>
      </w:r>
      <w:r>
        <w:t>concludes:</w:t>
      </w:r>
    </w:p>
    <w:p w14:paraId="64E1E5CE" w14:textId="77777777" w:rsidR="00651CAA" w:rsidRDefault="00016486" w:rsidP="00651CAA">
      <w:pPr>
        <w:rPr>
          <w:i/>
          <w:iCs/>
        </w:rPr>
      </w:pPr>
      <w:r>
        <w:rPr>
          <w:i/>
          <w:iCs/>
        </w:rPr>
        <w:t>Recommendations and Opinions shall have no binding force.</w:t>
      </w:r>
    </w:p>
    <w:p w14:paraId="4939F870" w14:textId="77777777" w:rsidR="00E72EAD" w:rsidRPr="00E72EAD" w:rsidRDefault="00E72EAD" w:rsidP="00651CAA">
      <w:r w:rsidRPr="00E72EAD">
        <w:t xml:space="preserve">In general terms, </w:t>
      </w:r>
      <w:r>
        <w:t>R</w:t>
      </w:r>
      <w:r w:rsidRPr="00E72EAD">
        <w:t xml:space="preserve">ecommendations are designed to ensure a particular course of action from the </w:t>
      </w:r>
      <w:r>
        <w:t>M</w:t>
      </w:r>
      <w:r w:rsidRPr="00E72EAD">
        <w:t xml:space="preserve">ember </w:t>
      </w:r>
      <w:r>
        <w:t>S</w:t>
      </w:r>
      <w:r w:rsidRPr="00E72EAD">
        <w:t xml:space="preserve">tate, </w:t>
      </w:r>
      <w:r>
        <w:t>c</w:t>
      </w:r>
      <w:r w:rsidRPr="00E72EAD">
        <w:t>orporation or individual to whom they are addressed, but cannot compel that action. Opinions express a non</w:t>
      </w:r>
      <w:r>
        <w:t>-</w:t>
      </w:r>
      <w:r w:rsidRPr="00E72EAD">
        <w:t xml:space="preserve">binding conclusion about some course of conduct </w:t>
      </w:r>
      <w:r>
        <w:t>and are</w:t>
      </w:r>
      <w:r w:rsidRPr="00E72EAD">
        <w:t xml:space="preserve"> usually issued at the request of a third party. A good example is the reasoned opinion under </w:t>
      </w:r>
      <w:r>
        <w:rPr>
          <w:b/>
          <w:bCs/>
        </w:rPr>
        <w:t>A</w:t>
      </w:r>
      <w:r w:rsidRPr="00E72EAD">
        <w:rPr>
          <w:b/>
          <w:bCs/>
        </w:rPr>
        <w:t>rt 258</w:t>
      </w:r>
      <w:r>
        <w:rPr>
          <w:b/>
          <w:bCs/>
        </w:rPr>
        <w:t xml:space="preserve"> </w:t>
      </w:r>
      <w:proofErr w:type="gramStart"/>
      <w:r w:rsidRPr="00E72EAD">
        <w:rPr>
          <w:b/>
          <w:bCs/>
        </w:rPr>
        <w:t>TFEU</w:t>
      </w:r>
      <w:r w:rsidRPr="00E72EAD">
        <w:t xml:space="preserve"> .</w:t>
      </w:r>
      <w:proofErr w:type="gramEnd"/>
    </w:p>
    <w:p w14:paraId="4FFCAA0B" w14:textId="77777777" w:rsidR="00E72EAD" w:rsidRPr="00E72EAD" w:rsidRDefault="00E72EAD" w:rsidP="00651CAA">
      <w:r w:rsidRPr="00E72EAD">
        <w:rPr>
          <w:b/>
          <w:bCs/>
        </w:rPr>
        <w:lastRenderedPageBreak/>
        <w:t>Art 263</w:t>
      </w:r>
      <w:r w:rsidRPr="00E72EAD">
        <w:t>, which covers a</w:t>
      </w:r>
      <w:r>
        <w:t>nnulment</w:t>
      </w:r>
      <w:r w:rsidRPr="00E72EAD">
        <w:t xml:space="preserve"> actions, covers </w:t>
      </w:r>
      <w:r w:rsidRPr="00E72EAD">
        <w:rPr>
          <w:i/>
          <w:iCs/>
        </w:rPr>
        <w:t>the legality of a</w:t>
      </w:r>
      <w:r>
        <w:rPr>
          <w:i/>
          <w:iCs/>
        </w:rPr>
        <w:t>cts…</w:t>
      </w:r>
      <w:r w:rsidRPr="00E72EAD">
        <w:t xml:space="preserve"> </w:t>
      </w:r>
      <w:r w:rsidRPr="00E72EAD">
        <w:rPr>
          <w:i/>
          <w:iCs/>
        </w:rPr>
        <w:t>other than recommendations</w:t>
      </w:r>
      <w:r w:rsidRPr="00E72EAD">
        <w:t xml:space="preserve"> </w:t>
      </w:r>
      <w:r w:rsidRPr="00E72EAD">
        <w:rPr>
          <w:i/>
          <w:iCs/>
        </w:rPr>
        <w:t>and opinions</w:t>
      </w:r>
      <w:r w:rsidRPr="00E72EAD">
        <w:t>. Case law from the Court of Justice has shown that where a non</w:t>
      </w:r>
      <w:r>
        <w:t>-</w:t>
      </w:r>
      <w:r w:rsidRPr="00E72EAD">
        <w:t xml:space="preserve">binding recommendation is followed so as to create legal effect, it can be subject to </w:t>
      </w:r>
      <w:r>
        <w:t>annulment</w:t>
      </w:r>
      <w:r w:rsidRPr="00E72EAD">
        <w:t xml:space="preserve">. In </w:t>
      </w:r>
      <w:r>
        <w:t>C</w:t>
      </w:r>
      <w:r w:rsidRPr="00E72EAD">
        <w:t>ase 322</w:t>
      </w:r>
      <w:r>
        <w:t>/</w:t>
      </w:r>
      <w:r w:rsidRPr="00E72EAD">
        <w:t xml:space="preserve">88, </w:t>
      </w:r>
      <w:r w:rsidRPr="00E72EAD">
        <w:rPr>
          <w:b/>
          <w:bCs/>
          <w:i/>
          <w:iCs/>
        </w:rPr>
        <w:t xml:space="preserve">Grimaldi </w:t>
      </w:r>
      <w:r>
        <w:rPr>
          <w:b/>
          <w:bCs/>
          <w:i/>
          <w:iCs/>
        </w:rPr>
        <w:t>[</w:t>
      </w:r>
      <w:r w:rsidRPr="00E72EAD">
        <w:rPr>
          <w:b/>
          <w:bCs/>
          <w:i/>
          <w:iCs/>
        </w:rPr>
        <w:t>1989</w:t>
      </w:r>
      <w:r>
        <w:rPr>
          <w:b/>
          <w:bCs/>
          <w:i/>
          <w:iCs/>
        </w:rPr>
        <w:t>]</w:t>
      </w:r>
      <w:r w:rsidRPr="00E72EAD">
        <w:t>, for example</w:t>
      </w:r>
      <w:r>
        <w:t xml:space="preserve">, </w:t>
      </w:r>
      <w:r w:rsidRPr="00E72EAD">
        <w:t>a</w:t>
      </w:r>
      <w:r>
        <w:t>n</w:t>
      </w:r>
      <w:r w:rsidRPr="00E72EAD">
        <w:t xml:space="preserve"> Italian national resident in Belgium claim</w:t>
      </w:r>
      <w:r>
        <w:t xml:space="preserve">ed a </w:t>
      </w:r>
      <w:r w:rsidRPr="00E72EAD">
        <w:t xml:space="preserve">Social Security payment in respect of an illness which he claimed was an occupational disease. His condition was not listed as an occupational disease in the Belgium scheme and his claim failed. The condition was, however, listed among occupational diseases in a 1962 </w:t>
      </w:r>
      <w:r>
        <w:t>R</w:t>
      </w:r>
      <w:r w:rsidRPr="00E72EAD">
        <w:t xml:space="preserve">ecommendation adopted by the Commission, which the </w:t>
      </w:r>
      <w:r>
        <w:t>M</w:t>
      </w:r>
      <w:r w:rsidRPr="00E72EAD">
        <w:t xml:space="preserve">ember </w:t>
      </w:r>
      <w:r>
        <w:t>S</w:t>
      </w:r>
      <w:r w:rsidRPr="00E72EAD">
        <w:t xml:space="preserve">tates had been asked to incorporate into their national schemes. The Brussels Labour Court was persuaded to refer certain questions to the Court of Justice. The Court of Justice held that although </w:t>
      </w:r>
      <w:r>
        <w:t>a R</w:t>
      </w:r>
      <w:r w:rsidRPr="00E72EAD">
        <w:t xml:space="preserve">ecommendation could not be relied upon as a source of legal rights </w:t>
      </w:r>
      <w:r>
        <w:t>(</w:t>
      </w:r>
      <w:r w:rsidRPr="00E72EAD">
        <w:t>having no binding force</w:t>
      </w:r>
      <w:r>
        <w:t>),</w:t>
      </w:r>
      <w:r w:rsidRPr="00E72EAD">
        <w:t xml:space="preserve"> the </w:t>
      </w:r>
      <w:r>
        <w:t>R</w:t>
      </w:r>
      <w:r w:rsidRPr="00E72EAD">
        <w:t>ecommendation could be an a</w:t>
      </w:r>
      <w:r>
        <w:t>id</w:t>
      </w:r>
      <w:r w:rsidRPr="00E72EAD">
        <w:t xml:space="preserve"> to the interpretation of national measures or of other EU measures. The clear suggestion made by the Court of Justice appears to be that had it been established that the Belgian list of occupational diseases was intended to implement the </w:t>
      </w:r>
      <w:r>
        <w:t>R</w:t>
      </w:r>
      <w:r w:rsidRPr="00E72EAD">
        <w:t xml:space="preserve">ecommendation, </w:t>
      </w:r>
      <w:proofErr w:type="gramStart"/>
      <w:r w:rsidRPr="00E72EAD">
        <w:t>than</w:t>
      </w:r>
      <w:proofErr w:type="gramEnd"/>
      <w:r w:rsidRPr="00E72EAD">
        <w:t xml:space="preserve"> any doubt as to its scope could have been resolved by reference to the </w:t>
      </w:r>
      <w:r>
        <w:t>R</w:t>
      </w:r>
      <w:r w:rsidRPr="00E72EAD">
        <w:t>ecommendation.</w:t>
      </w:r>
    </w:p>
    <w:p w14:paraId="2B143B2B" w14:textId="1B9FE1F4" w:rsidR="00651CAA" w:rsidRDefault="00E72EAD" w:rsidP="00651CAA">
      <w:r w:rsidRPr="00E72EAD">
        <w:t>Recommendations and opinions, despite their non</w:t>
      </w:r>
      <w:r>
        <w:t>-</w:t>
      </w:r>
      <w:r w:rsidRPr="00E72EAD">
        <w:t xml:space="preserve">binding nature, </w:t>
      </w:r>
      <w:r>
        <w:t>are</w:t>
      </w:r>
      <w:r w:rsidRPr="00E72EAD">
        <w:t xml:space="preserve"> deemed to be acts of the institutions of the EU within </w:t>
      </w:r>
      <w:r w:rsidRPr="00E72EAD">
        <w:rPr>
          <w:b/>
          <w:bCs/>
        </w:rPr>
        <w:t>article 267(b</w:t>
      </w:r>
      <w:proofErr w:type="gramStart"/>
      <w:r w:rsidRPr="00E72EAD">
        <w:rPr>
          <w:b/>
          <w:bCs/>
        </w:rPr>
        <w:t>)</w:t>
      </w:r>
      <w:r>
        <w:t>,</w:t>
      </w:r>
      <w:r w:rsidRPr="00E72EAD">
        <w:t xml:space="preserve"> </w:t>
      </w:r>
      <w:r>
        <w:t xml:space="preserve"> </w:t>
      </w:r>
      <w:r w:rsidRPr="00E72EAD">
        <w:t>and</w:t>
      </w:r>
      <w:proofErr w:type="gramEnd"/>
      <w:r w:rsidRPr="00E72EAD">
        <w:t xml:space="preserve"> they are therefore potentially subject to interpre</w:t>
      </w:r>
      <w:r>
        <w:t>ta</w:t>
      </w:r>
      <w:r w:rsidRPr="00E72EAD">
        <w:t xml:space="preserve">tive references from national courts to the Court of Justice. This type of law is sometimes referred to as </w:t>
      </w:r>
      <w:r>
        <w:t>“</w:t>
      </w:r>
      <w:r w:rsidRPr="00E72EAD">
        <w:t>soft</w:t>
      </w:r>
      <w:r>
        <w:t xml:space="preserve"> law”</w:t>
      </w:r>
      <w:r w:rsidRPr="00E72EAD">
        <w:t xml:space="preserve">. </w:t>
      </w:r>
    </w:p>
    <w:p w14:paraId="5FAC1BF0" w14:textId="72272869" w:rsidR="00803CDA" w:rsidRDefault="00803CDA" w:rsidP="00651CAA">
      <w:pPr>
        <w:rPr>
          <w:b/>
          <w:bCs/>
        </w:rPr>
      </w:pPr>
      <w:r>
        <w:rPr>
          <w:b/>
          <w:bCs/>
        </w:rPr>
        <w:t xml:space="preserve">Substance not </w:t>
      </w:r>
      <w:proofErr w:type="gramStart"/>
      <w:r>
        <w:rPr>
          <w:b/>
          <w:bCs/>
        </w:rPr>
        <w:t>form</w:t>
      </w:r>
      <w:proofErr w:type="gramEnd"/>
    </w:p>
    <w:p w14:paraId="4210CBBD" w14:textId="77777777" w:rsidR="008A4CA6" w:rsidRPr="008A4CA6" w:rsidRDefault="008A4CA6" w:rsidP="008A4CA6">
      <w:r w:rsidRPr="008A4CA6">
        <w:rPr>
          <w:lang w:val="en-US"/>
        </w:rPr>
        <w:t xml:space="preserve">The label given to an EU </w:t>
      </w:r>
      <w:proofErr w:type="gramStart"/>
      <w:r w:rsidRPr="008A4CA6">
        <w:rPr>
          <w:lang w:val="en-US"/>
        </w:rPr>
        <w:t>act  by</w:t>
      </w:r>
      <w:proofErr w:type="gramEnd"/>
      <w:r w:rsidRPr="008A4CA6">
        <w:rPr>
          <w:lang w:val="en-US"/>
        </w:rPr>
        <w:t xml:space="preserve"> the institution promulgating it is not conclusive of the categorization of the act.  The courts will look to substance and not to form.  Thus, an act labelled by an institution as a Regulation which has all the characteristics of a Decision will be treated as a Decision.  The status of an EU act will be determined by the courts having regard to its context and object:  Cases 16 and 17/62, </w:t>
      </w:r>
      <w:r w:rsidRPr="008A4CA6">
        <w:rPr>
          <w:b/>
          <w:bCs/>
          <w:i/>
          <w:iCs/>
          <w:lang w:val="en-US"/>
        </w:rPr>
        <w:t xml:space="preserve">Confederation </w:t>
      </w:r>
      <w:proofErr w:type="spellStart"/>
      <w:r w:rsidRPr="008A4CA6">
        <w:rPr>
          <w:b/>
          <w:bCs/>
          <w:i/>
          <w:iCs/>
          <w:lang w:val="en-US"/>
        </w:rPr>
        <w:t>Nationale</w:t>
      </w:r>
      <w:proofErr w:type="spellEnd"/>
      <w:r w:rsidRPr="008A4CA6">
        <w:rPr>
          <w:b/>
          <w:bCs/>
          <w:i/>
          <w:iCs/>
          <w:lang w:val="en-US"/>
        </w:rPr>
        <w:t xml:space="preserve"> des </w:t>
      </w:r>
      <w:proofErr w:type="spellStart"/>
      <w:r w:rsidRPr="008A4CA6">
        <w:rPr>
          <w:b/>
          <w:bCs/>
          <w:i/>
          <w:iCs/>
          <w:lang w:val="en-US"/>
        </w:rPr>
        <w:t>Producteurs</w:t>
      </w:r>
      <w:proofErr w:type="spellEnd"/>
      <w:r w:rsidRPr="008A4CA6">
        <w:rPr>
          <w:b/>
          <w:bCs/>
          <w:i/>
          <w:iCs/>
          <w:lang w:val="en-US"/>
        </w:rPr>
        <w:t xml:space="preserve"> des Fruits et Legumes v Council [1962]</w:t>
      </w:r>
      <w:r w:rsidRPr="008A4CA6">
        <w:rPr>
          <w:i/>
          <w:iCs/>
          <w:lang w:val="en-US"/>
        </w:rPr>
        <w:t>.</w:t>
      </w:r>
    </w:p>
    <w:p w14:paraId="1964EEB9" w14:textId="77777777" w:rsidR="008A4CA6" w:rsidRPr="008A4CA6" w:rsidRDefault="008A4CA6" w:rsidP="008A4CA6">
      <w:r w:rsidRPr="008A4CA6">
        <w:rPr>
          <w:lang w:val="en-US"/>
        </w:rPr>
        <w:t xml:space="preserve">In Case 40/64, </w:t>
      </w:r>
      <w:proofErr w:type="spellStart"/>
      <w:r w:rsidRPr="008A4CA6">
        <w:rPr>
          <w:b/>
          <w:bCs/>
          <w:i/>
          <w:iCs/>
          <w:lang w:val="en-US"/>
        </w:rPr>
        <w:t>Sgarlata</w:t>
      </w:r>
      <w:proofErr w:type="spellEnd"/>
      <w:r w:rsidRPr="008A4CA6">
        <w:rPr>
          <w:b/>
          <w:bCs/>
          <w:i/>
          <w:iCs/>
          <w:lang w:val="en-US"/>
        </w:rPr>
        <w:t xml:space="preserve"> v Commission [1965]</w:t>
      </w:r>
      <w:r w:rsidRPr="008A4CA6">
        <w:rPr>
          <w:i/>
          <w:iCs/>
          <w:lang w:val="en-US"/>
        </w:rPr>
        <w:t xml:space="preserve">, </w:t>
      </w:r>
      <w:r w:rsidRPr="008A4CA6">
        <w:rPr>
          <w:lang w:val="en-US"/>
        </w:rPr>
        <w:t>Advocate-General Roemer made the same point.</w:t>
      </w:r>
    </w:p>
    <w:p w14:paraId="5026F99C" w14:textId="3786F0E7" w:rsidR="008A4CA6" w:rsidRDefault="008A4CA6" w:rsidP="008A4CA6">
      <w:pPr>
        <w:rPr>
          <w:lang w:val="en-US"/>
        </w:rPr>
      </w:pPr>
      <w:r w:rsidRPr="008A4CA6">
        <w:rPr>
          <w:lang w:val="en-US"/>
        </w:rPr>
        <w:t xml:space="preserve">These decisions stress the importance of considering the legal effect of the act in determining its status.  The point becomes very important in the context of the action for annulment where it is clear that the action lies only in order to seek the annulment of a binding EU act. </w:t>
      </w:r>
    </w:p>
    <w:p w14:paraId="4ED491E1" w14:textId="0DAC38F9" w:rsidR="008A4CA6" w:rsidRDefault="003E053A" w:rsidP="008A4CA6">
      <w:pPr>
        <w:rPr>
          <w:b/>
          <w:bCs/>
          <w:lang w:val="en-US"/>
        </w:rPr>
      </w:pPr>
      <w:r>
        <w:rPr>
          <w:b/>
          <w:bCs/>
          <w:lang w:val="en-US"/>
        </w:rPr>
        <w:t>General principles of Law</w:t>
      </w:r>
    </w:p>
    <w:p w14:paraId="64F9EF76" w14:textId="77777777" w:rsidR="003E053A" w:rsidRPr="003E053A" w:rsidRDefault="003E053A" w:rsidP="003E053A">
      <w:r w:rsidRPr="003E053A">
        <w:rPr>
          <w:lang w:val="en-US"/>
        </w:rPr>
        <w:t xml:space="preserve">In addition to legislative provisions of the Treaty and of the acts described above, the CJ has developed a “common law” of the EU, borrowing ideas to be found in the general scheme of the Treaties and in the national laws of the </w:t>
      </w:r>
      <w:proofErr w:type="spellStart"/>
      <w:r w:rsidRPr="003E053A">
        <w:rPr>
          <w:lang w:val="en-US"/>
        </w:rPr>
        <w:t>MSs.</w:t>
      </w:r>
      <w:proofErr w:type="spellEnd"/>
      <w:r w:rsidRPr="003E053A">
        <w:rPr>
          <w:lang w:val="en-US"/>
        </w:rPr>
        <w:t xml:space="preserve">  </w:t>
      </w:r>
    </w:p>
    <w:p w14:paraId="636479AD" w14:textId="77777777" w:rsidR="003E053A" w:rsidRPr="003E053A" w:rsidRDefault="003E053A" w:rsidP="003E053A">
      <w:r w:rsidRPr="003E053A">
        <w:rPr>
          <w:lang w:val="en-US"/>
        </w:rPr>
        <w:t xml:space="preserve">These general principles are used to assist in the interpretation of EU legislation and in determining the legality of acts of the institutions.  The justification for general principles is sometimes said to be found in </w:t>
      </w:r>
      <w:r w:rsidRPr="003E053A">
        <w:rPr>
          <w:b/>
          <w:bCs/>
          <w:lang w:val="en-US"/>
        </w:rPr>
        <w:t>Art 19 TEU</w:t>
      </w:r>
      <w:r w:rsidRPr="003E053A">
        <w:rPr>
          <w:lang w:val="en-US"/>
        </w:rPr>
        <w:t xml:space="preserve"> which provides:</w:t>
      </w:r>
    </w:p>
    <w:p w14:paraId="209CCCB3" w14:textId="7E6C5225" w:rsidR="003E053A" w:rsidRDefault="003E053A" w:rsidP="003E053A">
      <w:pPr>
        <w:rPr>
          <w:i/>
          <w:iCs/>
          <w:lang w:val="en-US"/>
        </w:rPr>
      </w:pPr>
      <w:r w:rsidRPr="003E053A">
        <w:rPr>
          <w:i/>
          <w:iCs/>
          <w:lang w:val="en-US"/>
        </w:rPr>
        <w:t>The Court of Justice</w:t>
      </w:r>
      <w:proofErr w:type="gramStart"/>
      <w:r w:rsidRPr="003E053A">
        <w:rPr>
          <w:i/>
          <w:iCs/>
          <w:lang w:val="en-US"/>
        </w:rPr>
        <w:t>….shall</w:t>
      </w:r>
      <w:proofErr w:type="gramEnd"/>
      <w:r w:rsidRPr="003E053A">
        <w:rPr>
          <w:i/>
          <w:iCs/>
          <w:lang w:val="en-US"/>
        </w:rPr>
        <w:t xml:space="preserve"> ensure that in the interpretation and application of this Treaty the law is observed.</w:t>
      </w:r>
    </w:p>
    <w:p w14:paraId="1C984AB5" w14:textId="69B964E3" w:rsidR="003E053A" w:rsidRDefault="003E053A" w:rsidP="003E053A">
      <w:pPr>
        <w:rPr>
          <w:lang w:val="en-US"/>
        </w:rPr>
      </w:pPr>
      <w:r>
        <w:rPr>
          <w:lang w:val="en-US"/>
        </w:rPr>
        <w:t xml:space="preserve">It is argued that a broad interpretation is given to the word ‘law’ in </w:t>
      </w:r>
      <w:r w:rsidRPr="003E053A">
        <w:rPr>
          <w:b/>
          <w:bCs/>
          <w:lang w:val="en-US"/>
        </w:rPr>
        <w:t>Art 19 TEU</w:t>
      </w:r>
      <w:r>
        <w:rPr>
          <w:lang w:val="en-US"/>
        </w:rPr>
        <w:t xml:space="preserve"> and that it refers to something additional to the Treaty itself.  It refers to the Treaty, to secondary legislation and to general principles of law.</w:t>
      </w:r>
    </w:p>
    <w:p w14:paraId="08603E72" w14:textId="13622520" w:rsidR="003E053A" w:rsidRDefault="003E053A" w:rsidP="003E053A">
      <w:pPr>
        <w:rPr>
          <w:i/>
          <w:iCs/>
          <w:lang w:val="en-US"/>
        </w:rPr>
      </w:pPr>
      <w:r>
        <w:rPr>
          <w:lang w:val="en-US"/>
        </w:rPr>
        <w:lastRenderedPageBreak/>
        <w:t xml:space="preserve">This view is supported by the reference in </w:t>
      </w:r>
      <w:r>
        <w:rPr>
          <w:b/>
          <w:bCs/>
          <w:lang w:val="en-US"/>
        </w:rPr>
        <w:t xml:space="preserve">Art 263 TFEU </w:t>
      </w:r>
      <w:r>
        <w:rPr>
          <w:lang w:val="en-US"/>
        </w:rPr>
        <w:t xml:space="preserve">to </w:t>
      </w:r>
      <w:r>
        <w:rPr>
          <w:i/>
          <w:iCs/>
          <w:lang w:val="en-US"/>
        </w:rPr>
        <w:t xml:space="preserve">any rule of law relating to </w:t>
      </w:r>
      <w:r>
        <w:rPr>
          <w:lang w:val="en-US"/>
        </w:rPr>
        <w:t xml:space="preserve">[the Treaty’s] </w:t>
      </w:r>
      <w:r>
        <w:rPr>
          <w:i/>
          <w:iCs/>
          <w:lang w:val="en-US"/>
        </w:rPr>
        <w:t xml:space="preserve">application, </w:t>
      </w:r>
      <w:r>
        <w:rPr>
          <w:lang w:val="en-US"/>
        </w:rPr>
        <w:t xml:space="preserve">and to the reference in </w:t>
      </w:r>
      <w:r>
        <w:rPr>
          <w:b/>
          <w:bCs/>
          <w:lang w:val="en-US"/>
        </w:rPr>
        <w:t xml:space="preserve">Art 340 TFEU </w:t>
      </w:r>
      <w:r>
        <w:rPr>
          <w:lang w:val="en-US"/>
        </w:rPr>
        <w:t xml:space="preserve">to </w:t>
      </w:r>
      <w:r>
        <w:rPr>
          <w:i/>
          <w:iCs/>
          <w:lang w:val="en-US"/>
        </w:rPr>
        <w:t>the general principles common to the laws of the Member States.</w:t>
      </w:r>
    </w:p>
    <w:p w14:paraId="0A0549CD" w14:textId="1B37D046" w:rsidR="00B47F57" w:rsidRPr="00B47F57" w:rsidRDefault="003E053A" w:rsidP="003E053A">
      <w:r>
        <w:rPr>
          <w:lang w:val="en-US"/>
        </w:rPr>
        <w:t>Fundamental rights are often distinguished from general principles of law as a source of law in the application and interpretation of EU law.  In practice</w:t>
      </w:r>
      <w:r w:rsidR="00B47F57">
        <w:rPr>
          <w:lang w:val="en-US"/>
        </w:rPr>
        <w:t xml:space="preserve"> </w:t>
      </w:r>
      <w:proofErr w:type="spellStart"/>
      <w:proofErr w:type="gramStart"/>
      <w:r w:rsidR="00B47F57">
        <w:rPr>
          <w:lang w:val="en-US"/>
        </w:rPr>
        <w:t>i</w:t>
      </w:r>
      <w:proofErr w:type="spellEnd"/>
      <w:r w:rsidR="00B47F57">
        <w:rPr>
          <w:lang w:val="en-US"/>
        </w:rPr>
        <w:t>,</w:t>
      </w:r>
      <w:proofErr w:type="spellStart"/>
      <w:r w:rsidR="00B47F57" w:rsidRPr="00B47F57">
        <w:t>t</w:t>
      </w:r>
      <w:proofErr w:type="spellEnd"/>
      <w:proofErr w:type="gramEnd"/>
      <w:r w:rsidR="00B47F57" w:rsidRPr="00B47F57">
        <w:t xml:space="preserve"> is difficult to separate fundamental rights and general principles. In effect fundamental rights </w:t>
      </w:r>
      <w:r w:rsidR="00B47F57">
        <w:t>are</w:t>
      </w:r>
      <w:r w:rsidR="00B47F57" w:rsidRPr="00B47F57">
        <w:t xml:space="preserve"> a specific aspect of general principles of law. In </w:t>
      </w:r>
      <w:r w:rsidR="00B47F57">
        <w:t>C</w:t>
      </w:r>
      <w:r w:rsidR="00B47F57" w:rsidRPr="00B47F57">
        <w:t>ase 4</w:t>
      </w:r>
      <w:r w:rsidR="00B47F57">
        <w:t>/</w:t>
      </w:r>
      <w:r w:rsidR="00B47F57" w:rsidRPr="00B47F57">
        <w:t xml:space="preserve">73 </w:t>
      </w:r>
      <w:proofErr w:type="spellStart"/>
      <w:r w:rsidR="00B47F57" w:rsidRPr="00B47F57">
        <w:rPr>
          <w:b/>
          <w:bCs/>
          <w:i/>
          <w:iCs/>
        </w:rPr>
        <w:t>Nold</w:t>
      </w:r>
      <w:proofErr w:type="spellEnd"/>
      <w:r w:rsidR="00B47F57" w:rsidRPr="00B47F57">
        <w:rPr>
          <w:b/>
          <w:bCs/>
          <w:i/>
          <w:iCs/>
        </w:rPr>
        <w:t xml:space="preserve"> v Commission [1974]</w:t>
      </w:r>
      <w:r w:rsidR="00B47F57" w:rsidRPr="00B47F57">
        <w:t xml:space="preserve"> the Court of Justice said</w:t>
      </w:r>
      <w:r w:rsidR="00B47F57">
        <w:t>:</w:t>
      </w:r>
    </w:p>
    <w:p w14:paraId="46DA3011" w14:textId="69B2C845" w:rsidR="00B47F57" w:rsidRPr="00B47F57" w:rsidRDefault="00B47F57" w:rsidP="003E053A">
      <w:pPr>
        <w:rPr>
          <w:i/>
          <w:iCs/>
        </w:rPr>
      </w:pPr>
      <w:r>
        <w:rPr>
          <w:i/>
          <w:iCs/>
        </w:rPr>
        <w:t>“</w:t>
      </w:r>
      <w:r w:rsidRPr="00B47F57">
        <w:rPr>
          <w:i/>
          <w:iCs/>
        </w:rPr>
        <w:t>Fundamental rights form an integral part of the general principles of law</w:t>
      </w:r>
      <w:r>
        <w:rPr>
          <w:i/>
          <w:iCs/>
        </w:rPr>
        <w:t xml:space="preserve">, </w:t>
      </w:r>
      <w:r w:rsidRPr="00B47F57">
        <w:rPr>
          <w:i/>
          <w:iCs/>
        </w:rPr>
        <w:t>the observance of which it ensures. In safeguarding these rights</w:t>
      </w:r>
      <w:r>
        <w:rPr>
          <w:i/>
          <w:iCs/>
        </w:rPr>
        <w:t xml:space="preserve">, </w:t>
      </w:r>
      <w:r w:rsidRPr="00B47F57">
        <w:rPr>
          <w:i/>
          <w:iCs/>
        </w:rPr>
        <w:t xml:space="preserve">the </w:t>
      </w:r>
      <w:r>
        <w:rPr>
          <w:i/>
          <w:iCs/>
        </w:rPr>
        <w:t>Court is bound to draw</w:t>
      </w:r>
      <w:r w:rsidRPr="00B47F57">
        <w:rPr>
          <w:i/>
          <w:iCs/>
        </w:rPr>
        <w:t xml:space="preserve"> inspiration from constitutional traditions common to the </w:t>
      </w:r>
      <w:r>
        <w:rPr>
          <w:i/>
          <w:iCs/>
        </w:rPr>
        <w:t>M</w:t>
      </w:r>
      <w:r w:rsidRPr="00B47F57">
        <w:rPr>
          <w:i/>
          <w:iCs/>
        </w:rPr>
        <w:t xml:space="preserve">ember </w:t>
      </w:r>
      <w:r>
        <w:rPr>
          <w:i/>
          <w:iCs/>
        </w:rPr>
        <w:t>S</w:t>
      </w:r>
      <w:r w:rsidRPr="00B47F57">
        <w:rPr>
          <w:i/>
          <w:iCs/>
        </w:rPr>
        <w:t xml:space="preserve">tates, and it cannot therefore uphold measures which are incompatible with fundamental rights recognised and protected by the constitutions of those states. Similarly, international treaties for the protection of human rights on which the </w:t>
      </w:r>
      <w:r>
        <w:rPr>
          <w:i/>
          <w:iCs/>
        </w:rPr>
        <w:t>M</w:t>
      </w:r>
      <w:r w:rsidRPr="00B47F57">
        <w:rPr>
          <w:i/>
          <w:iCs/>
        </w:rPr>
        <w:t xml:space="preserve">ember </w:t>
      </w:r>
      <w:r>
        <w:rPr>
          <w:i/>
          <w:iCs/>
        </w:rPr>
        <w:t>S</w:t>
      </w:r>
      <w:r w:rsidRPr="00B47F57">
        <w:rPr>
          <w:i/>
          <w:iCs/>
        </w:rPr>
        <w:t xml:space="preserve">tates have collaborated </w:t>
      </w:r>
      <w:r>
        <w:rPr>
          <w:i/>
          <w:iCs/>
        </w:rPr>
        <w:t>or</w:t>
      </w:r>
      <w:r w:rsidRPr="00B47F57">
        <w:rPr>
          <w:i/>
          <w:iCs/>
        </w:rPr>
        <w:t xml:space="preserve"> of which they are signatories, can supply guidelines which should be followed within the framework of [EU] law.</w:t>
      </w:r>
      <w:r>
        <w:rPr>
          <w:i/>
          <w:iCs/>
        </w:rPr>
        <w:t>”</w:t>
      </w:r>
    </w:p>
    <w:p w14:paraId="0013932A" w14:textId="43C7BB03" w:rsidR="00B47F57" w:rsidRPr="00B47F57" w:rsidRDefault="00B47F57" w:rsidP="003E053A">
      <w:r w:rsidRPr="00B47F57">
        <w:t xml:space="preserve">Following </w:t>
      </w:r>
      <w:proofErr w:type="spellStart"/>
      <w:r>
        <w:rPr>
          <w:b/>
          <w:bCs/>
          <w:i/>
          <w:iCs/>
        </w:rPr>
        <w:t>N</w:t>
      </w:r>
      <w:r w:rsidRPr="00B47F57">
        <w:rPr>
          <w:b/>
          <w:bCs/>
          <w:i/>
          <w:iCs/>
        </w:rPr>
        <w:t>old</w:t>
      </w:r>
      <w:proofErr w:type="spellEnd"/>
      <w:r w:rsidRPr="00B47F57">
        <w:rPr>
          <w:b/>
          <w:bCs/>
          <w:i/>
          <w:iCs/>
        </w:rPr>
        <w:t xml:space="preserve"> </w:t>
      </w:r>
      <w:r>
        <w:rPr>
          <w:b/>
          <w:bCs/>
          <w:i/>
          <w:iCs/>
        </w:rPr>
        <w:t>[</w:t>
      </w:r>
      <w:r w:rsidRPr="00B47F57">
        <w:rPr>
          <w:b/>
          <w:bCs/>
          <w:i/>
          <w:iCs/>
        </w:rPr>
        <w:t>1974</w:t>
      </w:r>
      <w:r>
        <w:rPr>
          <w:b/>
          <w:bCs/>
          <w:i/>
          <w:iCs/>
        </w:rPr>
        <w:t>]</w:t>
      </w:r>
      <w:r w:rsidRPr="00B47F57">
        <w:t xml:space="preserve">, the Court of Justice recognised human rights treaties as a source of law. In </w:t>
      </w:r>
      <w:r>
        <w:t>C</w:t>
      </w:r>
      <w:r w:rsidRPr="00B47F57">
        <w:t>ase 36</w:t>
      </w:r>
      <w:r>
        <w:t>/</w:t>
      </w:r>
      <w:r w:rsidRPr="00B47F57">
        <w:t>7</w:t>
      </w:r>
      <w:r>
        <w:t xml:space="preserve"> </w:t>
      </w:r>
      <w:proofErr w:type="spellStart"/>
      <w:r>
        <w:rPr>
          <w:b/>
          <w:bCs/>
          <w:i/>
          <w:iCs/>
        </w:rPr>
        <w:t>Rutili</w:t>
      </w:r>
      <w:proofErr w:type="spellEnd"/>
      <w:r>
        <w:rPr>
          <w:b/>
          <w:bCs/>
          <w:i/>
          <w:iCs/>
        </w:rPr>
        <w:t xml:space="preserve"> v </w:t>
      </w:r>
      <w:proofErr w:type="spellStart"/>
      <w:r>
        <w:rPr>
          <w:b/>
          <w:bCs/>
          <w:i/>
          <w:iCs/>
        </w:rPr>
        <w:t>Ministre</w:t>
      </w:r>
      <w:proofErr w:type="spellEnd"/>
      <w:r>
        <w:rPr>
          <w:b/>
          <w:bCs/>
          <w:i/>
          <w:iCs/>
        </w:rPr>
        <w:t xml:space="preserve"> de </w:t>
      </w:r>
      <w:proofErr w:type="spellStart"/>
      <w:r>
        <w:rPr>
          <w:b/>
          <w:bCs/>
          <w:i/>
          <w:iCs/>
        </w:rPr>
        <w:t>l’interieur</w:t>
      </w:r>
      <w:proofErr w:type="spellEnd"/>
      <w:r>
        <w:rPr>
          <w:b/>
          <w:bCs/>
          <w:i/>
          <w:iCs/>
        </w:rPr>
        <w:t xml:space="preserve"> [1975]</w:t>
      </w:r>
      <w:r>
        <w:t xml:space="preserve"> </w:t>
      </w:r>
      <w:r w:rsidRPr="00B47F57">
        <w:t xml:space="preserve">the Court of Justice recognised ECHR as a source in that it was relevant to the general principles that EU law should </w:t>
      </w:r>
      <w:proofErr w:type="gramStart"/>
      <w:r w:rsidRPr="00B47F57">
        <w:t>reflect .</w:t>
      </w:r>
      <w:proofErr w:type="gramEnd"/>
      <w:r w:rsidRPr="00B47F57">
        <w:t xml:space="preserve"> It is important to appreciate that this recognition did not mean that </w:t>
      </w:r>
      <w:r>
        <w:t>M</w:t>
      </w:r>
      <w:r w:rsidRPr="00B47F57">
        <w:t xml:space="preserve">ember </w:t>
      </w:r>
      <w:r>
        <w:t>S</w:t>
      </w:r>
      <w:r w:rsidRPr="00B47F57">
        <w:t xml:space="preserve">tates had incorporated </w:t>
      </w:r>
      <w:r>
        <w:t>ECHR or</w:t>
      </w:r>
      <w:r w:rsidRPr="00B47F57">
        <w:t xml:space="preserve"> had to apply it. It is simply that law from the EU would meet the standards of ECHR.</w:t>
      </w:r>
    </w:p>
    <w:p w14:paraId="3736EEE7" w14:textId="274CC09E" w:rsidR="003E053A" w:rsidRPr="003E053A" w:rsidRDefault="00B47F57" w:rsidP="003E053A">
      <w:r w:rsidRPr="00B47F57">
        <w:t xml:space="preserve">The following general principles of </w:t>
      </w:r>
      <w:r>
        <w:t>law are</w:t>
      </w:r>
      <w:r w:rsidRPr="00B47F57">
        <w:t xml:space="preserve"> now well established in EU law</w:t>
      </w:r>
      <w:r>
        <w:t>.</w:t>
      </w:r>
      <w:r w:rsidRPr="00B47F57">
        <w:t xml:space="preserve"> </w:t>
      </w:r>
      <w:r>
        <w:t>T</w:t>
      </w:r>
      <w:r w:rsidRPr="00B47F57">
        <w:t xml:space="preserve">here is not always a clear dividing line between the application of these </w:t>
      </w:r>
      <w:proofErr w:type="gramStart"/>
      <w:r w:rsidRPr="00B47F57">
        <w:t>principles</w:t>
      </w:r>
      <w:proofErr w:type="gramEnd"/>
      <w:r w:rsidRPr="00B47F57">
        <w:t xml:space="preserve"> and it remains open to the Court of Justice to develop further principles. </w:t>
      </w:r>
    </w:p>
    <w:p w14:paraId="2312574A" w14:textId="1B67ABFA" w:rsidR="008A4CA6" w:rsidRDefault="00B47F57" w:rsidP="008A4CA6">
      <w:pPr>
        <w:rPr>
          <w:b/>
          <w:bCs/>
        </w:rPr>
      </w:pPr>
      <w:r>
        <w:rPr>
          <w:b/>
          <w:bCs/>
        </w:rPr>
        <w:t>Subsidiarity and proportionality</w:t>
      </w:r>
    </w:p>
    <w:p w14:paraId="068F44C1" w14:textId="3AF081DD" w:rsidR="00B47F57" w:rsidRPr="006B2F8F" w:rsidRDefault="00B47F57" w:rsidP="008A4CA6">
      <w:r w:rsidRPr="006B2F8F">
        <w:t>The principle of subsidiarity is a very important one because it helps to determine when the EU is competent to act in certain areas. In other words</w:t>
      </w:r>
      <w:r w:rsidR="006B2F8F">
        <w:t xml:space="preserve">, </w:t>
      </w:r>
      <w:r w:rsidRPr="006B2F8F">
        <w:t>the principle helps to determine when the EU h</w:t>
      </w:r>
      <w:r w:rsidR="006B2F8F">
        <w:t>a</w:t>
      </w:r>
      <w:r w:rsidRPr="006B2F8F">
        <w:t xml:space="preserve">s authority to pass legislation. It means that EU legislation can be challenged by </w:t>
      </w:r>
      <w:r w:rsidR="006B2F8F">
        <w:t>M</w:t>
      </w:r>
      <w:r w:rsidRPr="006B2F8F">
        <w:t xml:space="preserve">ember </w:t>
      </w:r>
      <w:r w:rsidR="006B2F8F">
        <w:t>S</w:t>
      </w:r>
      <w:r w:rsidRPr="006B2F8F">
        <w:t xml:space="preserve">tates </w:t>
      </w:r>
      <w:r w:rsidR="006B2F8F">
        <w:t xml:space="preserve">or other </w:t>
      </w:r>
      <w:r w:rsidRPr="006B2F8F">
        <w:t xml:space="preserve">parties using the </w:t>
      </w:r>
      <w:proofErr w:type="gramStart"/>
      <w:r w:rsidRPr="006B2F8F">
        <w:t>principle .</w:t>
      </w:r>
      <w:proofErr w:type="gramEnd"/>
    </w:p>
    <w:p w14:paraId="6F526336" w14:textId="77777777" w:rsidR="006B2F8F" w:rsidRDefault="00B47F57" w:rsidP="008A4CA6">
      <w:r w:rsidRPr="006B2F8F">
        <w:rPr>
          <w:b/>
          <w:bCs/>
        </w:rPr>
        <w:t>Article 5</w:t>
      </w:r>
      <w:r w:rsidR="006B2F8F">
        <w:rPr>
          <w:b/>
          <w:bCs/>
        </w:rPr>
        <w:t xml:space="preserve">(3) </w:t>
      </w:r>
      <w:r w:rsidRPr="006B2F8F">
        <w:rPr>
          <w:b/>
          <w:bCs/>
        </w:rPr>
        <w:t>TEU</w:t>
      </w:r>
      <w:r w:rsidRPr="006B2F8F">
        <w:t xml:space="preserve"> defines the principle by stating</w:t>
      </w:r>
      <w:r w:rsidR="006B2F8F">
        <w:t>:</w:t>
      </w:r>
    </w:p>
    <w:p w14:paraId="73B19A29" w14:textId="18F48286" w:rsidR="006B2F8F" w:rsidRPr="006B2F8F" w:rsidRDefault="00B47F57" w:rsidP="008A4CA6">
      <w:pPr>
        <w:rPr>
          <w:i/>
          <w:iCs/>
        </w:rPr>
      </w:pPr>
      <w:r w:rsidRPr="006B2F8F">
        <w:rPr>
          <w:i/>
          <w:iCs/>
        </w:rPr>
        <w:t xml:space="preserve"> </w:t>
      </w:r>
      <w:r w:rsidR="006B2F8F" w:rsidRPr="006B2F8F">
        <w:rPr>
          <w:i/>
          <w:iCs/>
        </w:rPr>
        <w:t>“under the principle of subsidiarity, in areas which do not fall within its exclusive competence, the Union shall act only if and in so far as the objectives of the proposed action cannot be sufficiently achieved by the Member States, either at central level or at regional and local level, but can rather, by reason of the scale or effects of the proposed action, be better achieved at Union level.”</w:t>
      </w:r>
    </w:p>
    <w:p w14:paraId="733D5774" w14:textId="6C663054" w:rsidR="008A4CA6" w:rsidRDefault="006B2F8F" w:rsidP="008A4CA6">
      <w:r w:rsidRPr="006B2F8F">
        <w:t xml:space="preserve">The </w:t>
      </w:r>
      <w:r w:rsidRPr="006B2F8F">
        <w:rPr>
          <w:b/>
          <w:bCs/>
        </w:rPr>
        <w:t>principle of subsidiarity</w:t>
      </w:r>
      <w:r w:rsidRPr="006B2F8F">
        <w:t xml:space="preserve"> simply means that decision</w:t>
      </w:r>
      <w:r>
        <w:t>s</w:t>
      </w:r>
      <w:r w:rsidRPr="006B2F8F">
        <w:t xml:space="preserve"> should be taken as closely to the people as possible. In the EU context this means that the EU should only act where it is in a better position to do so than national or even local authorit</w:t>
      </w:r>
      <w:r>
        <w:t>ie</w:t>
      </w:r>
      <w:r w:rsidRPr="006B2F8F">
        <w:t>s. The application of the principle in practice is more difficult</w:t>
      </w:r>
      <w:r>
        <w:t>.  I</w:t>
      </w:r>
      <w:r w:rsidRPr="006B2F8F">
        <w:t xml:space="preserve">t is not clear who decides whether </w:t>
      </w:r>
      <w:r>
        <w:t>M</w:t>
      </w:r>
      <w:r w:rsidRPr="006B2F8F">
        <w:t xml:space="preserve">ember </w:t>
      </w:r>
      <w:r>
        <w:t>S</w:t>
      </w:r>
      <w:r w:rsidRPr="006B2F8F">
        <w:t xml:space="preserve">tates </w:t>
      </w:r>
      <w:r>
        <w:t xml:space="preserve">or </w:t>
      </w:r>
      <w:r w:rsidRPr="006B2F8F">
        <w:t xml:space="preserve">the EU are better placed. In fact, one of the </w:t>
      </w:r>
      <w:proofErr w:type="gramStart"/>
      <w:r w:rsidRPr="006B2F8F">
        <w:t>key</w:t>
      </w:r>
      <w:proofErr w:type="gramEnd"/>
      <w:r w:rsidRPr="006B2F8F">
        <w:t xml:space="preserve"> aims of the </w:t>
      </w:r>
      <w:r w:rsidRPr="006B2F8F">
        <w:rPr>
          <w:b/>
          <w:bCs/>
        </w:rPr>
        <w:t>Treaty of Lisbon 2007</w:t>
      </w:r>
      <w:r w:rsidRPr="006B2F8F">
        <w:t xml:space="preserve"> was to clarify the divisions of power between the EU and its </w:t>
      </w:r>
      <w:r>
        <w:t>M</w:t>
      </w:r>
      <w:r w:rsidRPr="006B2F8F">
        <w:t xml:space="preserve">ember </w:t>
      </w:r>
      <w:r>
        <w:t>S</w:t>
      </w:r>
      <w:r w:rsidRPr="006B2F8F">
        <w:t xml:space="preserve">tates. The </w:t>
      </w:r>
      <w:r w:rsidRPr="006B2F8F">
        <w:rPr>
          <w:b/>
          <w:bCs/>
        </w:rPr>
        <w:t>principle of conferred powers</w:t>
      </w:r>
      <w:r w:rsidRPr="006B2F8F">
        <w:t xml:space="preserve"> means that </w:t>
      </w:r>
      <w:r>
        <w:t>M</w:t>
      </w:r>
      <w:r w:rsidRPr="006B2F8F">
        <w:t xml:space="preserve">ember </w:t>
      </w:r>
      <w:r>
        <w:t>S</w:t>
      </w:r>
      <w:r w:rsidRPr="006B2F8F">
        <w:t>tates will retain those powers not explicitly conferred on the EU. The EU will have competence to act in all matters where power has been con</w:t>
      </w:r>
      <w:r>
        <w:t>ferr</w:t>
      </w:r>
      <w:r w:rsidRPr="006B2F8F">
        <w:t xml:space="preserve">ed and this competence can either be exclusive or shared. Where the competence is exclusive the principle of subsidiarity does not really apply because the EU has the right to make law in that particular area. Member </w:t>
      </w:r>
      <w:r>
        <w:t>S</w:t>
      </w:r>
      <w:r w:rsidRPr="006B2F8F">
        <w:t xml:space="preserve">tates could act only if they were implementing EU secondary legislation </w:t>
      </w:r>
      <w:r>
        <w:t xml:space="preserve">or </w:t>
      </w:r>
      <w:r w:rsidRPr="006B2F8F">
        <w:t xml:space="preserve">have been given power to act by the EU. Where competence is shared, </w:t>
      </w:r>
      <w:r w:rsidRPr="006B2F8F">
        <w:lastRenderedPageBreak/>
        <w:t>subsid</w:t>
      </w:r>
      <w:r>
        <w:t>i</w:t>
      </w:r>
      <w:r w:rsidRPr="006B2F8F">
        <w:t xml:space="preserve">arity plays </w:t>
      </w:r>
      <w:r>
        <w:t>a</w:t>
      </w:r>
      <w:r w:rsidRPr="006B2F8F">
        <w:t xml:space="preserve"> role although </w:t>
      </w:r>
      <w:r>
        <w:t>M</w:t>
      </w:r>
      <w:r w:rsidRPr="006B2F8F">
        <w:t xml:space="preserve">ember </w:t>
      </w:r>
      <w:r>
        <w:t>S</w:t>
      </w:r>
      <w:r w:rsidRPr="006B2F8F">
        <w:t xml:space="preserve">tates could act only if the EU has not already done so </w:t>
      </w:r>
      <w:r>
        <w:t>or</w:t>
      </w:r>
      <w:r w:rsidRPr="006B2F8F">
        <w:t xml:space="preserve">, where it has, it has stopped. </w:t>
      </w:r>
    </w:p>
    <w:p w14:paraId="2758F94F" w14:textId="74EE89CC" w:rsidR="008A4CA6" w:rsidRDefault="00123B70" w:rsidP="008A4CA6">
      <w:r w:rsidRPr="00123B70">
        <w:rPr>
          <w:b/>
          <w:bCs/>
        </w:rPr>
        <w:t xml:space="preserve">TL 2007 </w:t>
      </w:r>
      <w:r w:rsidRPr="00123B70">
        <w:t xml:space="preserve">contains a </w:t>
      </w:r>
      <w:r w:rsidRPr="00123B70">
        <w:rPr>
          <w:b/>
          <w:bCs/>
        </w:rPr>
        <w:t>Protocol on th</w:t>
      </w:r>
      <w:r>
        <w:rPr>
          <w:b/>
          <w:bCs/>
        </w:rPr>
        <w:t xml:space="preserve">e Application of the Principles of Subsidiarity and Proportionality </w:t>
      </w:r>
      <w:r>
        <w:t>which requires secondary legislation to set out how the principles have been complied with and why the EU measure is better placed</w:t>
      </w:r>
      <w:r w:rsidR="009778FE">
        <w:t xml:space="preserve"> to achieve the objective in question.  The role of subsidiarity is strengthened by the involvement of national parliaments in the EU decision-making process.</w:t>
      </w:r>
    </w:p>
    <w:p w14:paraId="6255AC5B" w14:textId="77777777" w:rsidR="009778FE" w:rsidRDefault="009778FE" w:rsidP="008A4CA6">
      <w:r w:rsidRPr="009778FE">
        <w:t xml:space="preserve">Linked to subsidiarity is </w:t>
      </w:r>
      <w:r>
        <w:t>the</w:t>
      </w:r>
      <w:r w:rsidRPr="009778FE">
        <w:t xml:space="preserve"> concept of </w:t>
      </w:r>
      <w:r w:rsidRPr="009778FE">
        <w:rPr>
          <w:b/>
          <w:bCs/>
        </w:rPr>
        <w:t>proportionality</w:t>
      </w:r>
      <w:r w:rsidRPr="009778FE">
        <w:t>. Put simply, this principle suggests that you should not use a sledgehammer to crack a nut. In other words</w:t>
      </w:r>
      <w:r>
        <w:t xml:space="preserve">, </w:t>
      </w:r>
      <w:r w:rsidRPr="009778FE">
        <w:t xml:space="preserve">the means used to achieve a given end must be no more than that which is appropriate and necessary to achieve that </w:t>
      </w:r>
      <w:proofErr w:type="gramStart"/>
      <w:r w:rsidRPr="009778FE">
        <w:t>end .</w:t>
      </w:r>
      <w:proofErr w:type="gramEnd"/>
      <w:r w:rsidRPr="009778FE">
        <w:t xml:space="preserve"> </w:t>
      </w:r>
      <w:r w:rsidRPr="009778FE">
        <w:rPr>
          <w:b/>
          <w:bCs/>
        </w:rPr>
        <w:t>Article 5 T</w:t>
      </w:r>
      <w:r>
        <w:rPr>
          <w:b/>
          <w:bCs/>
        </w:rPr>
        <w:t>E</w:t>
      </w:r>
      <w:r w:rsidRPr="009778FE">
        <w:rPr>
          <w:b/>
          <w:bCs/>
        </w:rPr>
        <w:t>U</w:t>
      </w:r>
      <w:r w:rsidRPr="009778FE">
        <w:t xml:space="preserve"> states: any action by the union shall not go beyond what is necessary to achieve the objectives of this treaty. So, it may be lawful to limit economic activity, </w:t>
      </w:r>
      <w:r>
        <w:t xml:space="preserve">but </w:t>
      </w:r>
      <w:r w:rsidRPr="009778FE">
        <w:t xml:space="preserve">only where the measures taken </w:t>
      </w:r>
      <w:r>
        <w:t>are</w:t>
      </w:r>
      <w:r w:rsidRPr="009778FE">
        <w:t xml:space="preserve"> appropriate and necessary in order to achieve legitimate </w:t>
      </w:r>
      <w:proofErr w:type="gramStart"/>
      <w:r w:rsidRPr="009778FE">
        <w:t>objectives .</w:t>
      </w:r>
      <w:proofErr w:type="gramEnd"/>
      <w:r w:rsidRPr="009778FE">
        <w:t xml:space="preserve"> In </w:t>
      </w:r>
      <w:r>
        <w:t>C</w:t>
      </w:r>
      <w:r w:rsidRPr="009778FE">
        <w:t>ase 331</w:t>
      </w:r>
      <w:r>
        <w:t>/</w:t>
      </w:r>
      <w:r w:rsidRPr="009778FE">
        <w:t xml:space="preserve">88 </w:t>
      </w:r>
      <w:r w:rsidRPr="009778FE">
        <w:rPr>
          <w:b/>
          <w:bCs/>
        </w:rPr>
        <w:t xml:space="preserve">FIDESA </w:t>
      </w:r>
      <w:r>
        <w:rPr>
          <w:b/>
          <w:bCs/>
        </w:rPr>
        <w:t>[</w:t>
      </w:r>
      <w:r w:rsidRPr="009778FE">
        <w:rPr>
          <w:b/>
          <w:bCs/>
        </w:rPr>
        <w:t>1990</w:t>
      </w:r>
      <w:r>
        <w:rPr>
          <w:b/>
          <w:bCs/>
        </w:rPr>
        <w:t>]</w:t>
      </w:r>
      <w:r>
        <w:t xml:space="preserve">, CJ </w:t>
      </w:r>
      <w:r w:rsidRPr="009778FE">
        <w:t>held that if there is a choice between several appropriate measures, then the measure selected must be the least burdensome. The Court of Justice defined proportionality as follows</w:t>
      </w:r>
      <w:r>
        <w:t>:</w:t>
      </w:r>
    </w:p>
    <w:p w14:paraId="7E29597B" w14:textId="141A0577" w:rsidR="008A4CA6" w:rsidRDefault="009778FE" w:rsidP="008A4CA6">
      <w:pPr>
        <w:rPr>
          <w:i/>
          <w:iCs/>
        </w:rPr>
      </w:pPr>
      <w:r w:rsidRPr="009778FE">
        <w:rPr>
          <w:i/>
          <w:iCs/>
        </w:rPr>
        <w:t xml:space="preserve">The principle of proportionality requires that measures be adopted by EU institutions which do not exceed the limits of what is appropriate and necessary in order to retain the objectives legitimately pursued by the legislation in question; when there is a choice between appropriate measures recourse must be had to the least onerous, and the disadvantages caused are not to be disproportionate to the aims pursued. </w:t>
      </w:r>
    </w:p>
    <w:p w14:paraId="455066E5" w14:textId="69C00E70" w:rsidR="009778FE" w:rsidRDefault="009778FE" w:rsidP="008A4CA6">
      <w:r>
        <w:t>In Case</w:t>
      </w:r>
      <w:r w:rsidR="00646683">
        <w:t xml:space="preserve"> </w:t>
      </w:r>
      <w:r>
        <w:t xml:space="preserve">181/84, </w:t>
      </w:r>
      <w:r>
        <w:rPr>
          <w:b/>
          <w:bCs/>
          <w:i/>
          <w:iCs/>
        </w:rPr>
        <w:t>Man (Sugar</w:t>
      </w:r>
      <w:proofErr w:type="gramStart"/>
      <w:r>
        <w:rPr>
          <w:b/>
          <w:bCs/>
          <w:i/>
          <w:iCs/>
        </w:rPr>
        <w:t>)[</w:t>
      </w:r>
      <w:proofErr w:type="gramEnd"/>
      <w:r>
        <w:rPr>
          <w:b/>
          <w:bCs/>
          <w:i/>
          <w:iCs/>
        </w:rPr>
        <w:t>1985]</w:t>
      </w:r>
      <w:r>
        <w:t xml:space="preserve">, a company was required to give a security deposit </w:t>
      </w:r>
      <w:r w:rsidR="00646683">
        <w:t>when seeking a licence to export sugar outside the EU.  Man (Sugar) was late in applying for a licence, but only by 4hrs.  In line with an EU Regulation however, the company lost its entire deposit of £1,670,317.  The CJ found a violation of the principle of proportionality.  The automatic forfeit of the full deposit was too drastic.</w:t>
      </w:r>
    </w:p>
    <w:p w14:paraId="07F6DBD2" w14:textId="14AE4C08" w:rsidR="00646683" w:rsidRDefault="00646683" w:rsidP="008A4CA6">
      <w:pPr>
        <w:rPr>
          <w:b/>
          <w:bCs/>
          <w:i/>
          <w:iCs/>
        </w:rPr>
      </w:pPr>
      <w:r>
        <w:t xml:space="preserve">The principle of proportionality can also bee seen in cases concerning the free movement of goods.  In Case 120/78, </w:t>
      </w:r>
      <w:r>
        <w:rPr>
          <w:b/>
          <w:bCs/>
          <w:i/>
          <w:iCs/>
        </w:rPr>
        <w:t xml:space="preserve">Cassis de Dijon [1979], </w:t>
      </w:r>
      <w:r>
        <w:t xml:space="preserve">the CJ considered whether a German rule that prescribed the minimum alcohol content for Cassis could constitute an impediment to the principle of free movement of goods under </w:t>
      </w:r>
      <w:r>
        <w:rPr>
          <w:b/>
          <w:bCs/>
        </w:rPr>
        <w:t>Art 34 TEU</w:t>
      </w:r>
      <w:r>
        <w:t xml:space="preserve">.  The CJ decided that the rule could constitute such an impediment and then had to decide whether the rule was necessary in order to protect German consumers from being misled.  The CJ said that, although German consumers had a right not to be misled, their interests could be safeguarded in other, less restrictive ways.  It suggested a label displaying the alcoholic content of the Cassis </w:t>
      </w:r>
      <w:proofErr w:type="spellStart"/>
      <w:r>
        <w:t>wasa</w:t>
      </w:r>
      <w:proofErr w:type="spellEnd"/>
      <w:r>
        <w:t xml:space="preserve"> more proportionate way of achieving the same end.  The CJ reached a similar conclusion in </w:t>
      </w:r>
      <w:r w:rsidR="0025050A">
        <w:t xml:space="preserve">Case 178/84, </w:t>
      </w:r>
      <w:r w:rsidR="00EF61EB">
        <w:rPr>
          <w:b/>
          <w:bCs/>
          <w:i/>
          <w:iCs/>
        </w:rPr>
        <w:t xml:space="preserve">Commission v Germany (German Beer </w:t>
      </w:r>
      <w:proofErr w:type="gramStart"/>
      <w:r w:rsidR="00EF61EB">
        <w:rPr>
          <w:b/>
          <w:bCs/>
          <w:i/>
          <w:iCs/>
        </w:rPr>
        <w:t>Purity)[</w:t>
      </w:r>
      <w:proofErr w:type="gramEnd"/>
      <w:r w:rsidR="00EF61EB">
        <w:rPr>
          <w:b/>
          <w:bCs/>
          <w:i/>
          <w:iCs/>
        </w:rPr>
        <w:t>1987].</w:t>
      </w:r>
    </w:p>
    <w:p w14:paraId="1258F34B" w14:textId="7DA7792A" w:rsidR="00EF61EB" w:rsidRDefault="00EF61EB" w:rsidP="008A4CA6">
      <w:pPr>
        <w:rPr>
          <w:b/>
          <w:bCs/>
        </w:rPr>
      </w:pPr>
      <w:r>
        <w:rPr>
          <w:b/>
          <w:bCs/>
        </w:rPr>
        <w:t>Legal certainty</w:t>
      </w:r>
    </w:p>
    <w:p w14:paraId="5478586A" w14:textId="77777777" w:rsidR="00EF61EB" w:rsidRPr="00EF61EB" w:rsidRDefault="00EF61EB" w:rsidP="008A4CA6">
      <w:r w:rsidRPr="00EF61EB">
        <w:t>The principle of legal certainty is viewed broadly and requires that the law should not operate to frustrate the reasonably held expectations of parties acting reasonably in reliance on the law. It covers the protection of legitimate expectations and requires special reasons to justify any retrospective legislation.</w:t>
      </w:r>
    </w:p>
    <w:p w14:paraId="780D4E9C" w14:textId="1ADC88B9" w:rsidR="00EF61EB" w:rsidRPr="00EF61EB" w:rsidRDefault="00EF61EB" w:rsidP="008A4CA6">
      <w:r w:rsidRPr="00EF61EB">
        <w:t>The principle of legitimate expectation states that, in the absence of an overriding matter of public interest, EU measures must not violate the legitimate expectations of the parties concerned. A legitimate expectation is one held by a reasonable person as to matters l</w:t>
      </w:r>
      <w:r>
        <w:t>ikely</w:t>
      </w:r>
      <w:r w:rsidRPr="00EF61EB">
        <w:t xml:space="preserve"> to occur in the normal course o</w:t>
      </w:r>
      <w:r w:rsidR="0083344D">
        <w:t>f affairs</w:t>
      </w:r>
      <w:r w:rsidRPr="00EF61EB">
        <w:t xml:space="preserve">. For the principle to be activated it requires that a defendant has been encouraged </w:t>
      </w:r>
      <w:r w:rsidRPr="00EF61EB">
        <w:lastRenderedPageBreak/>
        <w:t xml:space="preserve">by a reasonable </w:t>
      </w:r>
      <w:proofErr w:type="gramStart"/>
      <w:r w:rsidRPr="00EF61EB">
        <w:t>expectation ,</w:t>
      </w:r>
      <w:proofErr w:type="gramEnd"/>
      <w:r w:rsidRPr="00EF61EB">
        <w:t xml:space="preserve"> has relied on that expectation and</w:t>
      </w:r>
      <w:r w:rsidR="0083344D">
        <w:t xml:space="preserve">, </w:t>
      </w:r>
      <w:r w:rsidRPr="00EF61EB">
        <w:t xml:space="preserve">as a result of that reliance, has suffered some </w:t>
      </w:r>
      <w:r w:rsidR="0083344D">
        <w:t>loss</w:t>
      </w:r>
      <w:r w:rsidRPr="00EF61EB">
        <w:t>.</w:t>
      </w:r>
    </w:p>
    <w:p w14:paraId="21F4625C" w14:textId="075448D4" w:rsidR="00EF61EB" w:rsidRPr="00EF61EB" w:rsidRDefault="00EF61EB" w:rsidP="008A4CA6">
      <w:r w:rsidRPr="00EF61EB">
        <w:t>Case 112</w:t>
      </w:r>
      <w:r w:rsidR="0083344D">
        <w:t>/</w:t>
      </w:r>
      <w:r w:rsidRPr="00EF61EB">
        <w:t xml:space="preserve">77, </w:t>
      </w:r>
      <w:proofErr w:type="spellStart"/>
      <w:r w:rsidRPr="0083344D">
        <w:rPr>
          <w:b/>
          <w:bCs/>
          <w:i/>
          <w:iCs/>
        </w:rPr>
        <w:t>Top</w:t>
      </w:r>
      <w:r w:rsidR="0083344D" w:rsidRPr="0083344D">
        <w:rPr>
          <w:b/>
          <w:bCs/>
          <w:i/>
          <w:iCs/>
        </w:rPr>
        <w:t>fer</w:t>
      </w:r>
      <w:proofErr w:type="spellEnd"/>
      <w:r w:rsidRPr="0083344D">
        <w:rPr>
          <w:b/>
          <w:bCs/>
          <w:i/>
          <w:iCs/>
        </w:rPr>
        <w:t xml:space="preserve"> </w:t>
      </w:r>
      <w:r w:rsidR="0083344D" w:rsidRPr="0083344D">
        <w:rPr>
          <w:b/>
          <w:bCs/>
          <w:i/>
          <w:iCs/>
        </w:rPr>
        <w:t>v</w:t>
      </w:r>
      <w:r w:rsidRPr="0083344D">
        <w:rPr>
          <w:b/>
          <w:bCs/>
          <w:i/>
          <w:iCs/>
        </w:rPr>
        <w:t xml:space="preserve"> Commission </w:t>
      </w:r>
      <w:r w:rsidR="0083344D" w:rsidRPr="0083344D">
        <w:rPr>
          <w:b/>
          <w:bCs/>
          <w:i/>
          <w:iCs/>
        </w:rPr>
        <w:t>[</w:t>
      </w:r>
      <w:r w:rsidRPr="0083344D">
        <w:rPr>
          <w:b/>
          <w:bCs/>
          <w:i/>
          <w:iCs/>
        </w:rPr>
        <w:t>1978</w:t>
      </w:r>
      <w:r w:rsidR="0083344D" w:rsidRPr="0083344D">
        <w:rPr>
          <w:b/>
          <w:bCs/>
          <w:i/>
          <w:iCs/>
        </w:rPr>
        <w:t>]</w:t>
      </w:r>
      <w:r w:rsidRPr="00EF61EB">
        <w:t xml:space="preserve">, concerned </w:t>
      </w:r>
      <w:r w:rsidR="0083344D">
        <w:t xml:space="preserve">a </w:t>
      </w:r>
      <w:r w:rsidRPr="00EF61EB">
        <w:t xml:space="preserve">sugar exporter who had been granted a number of export </w:t>
      </w:r>
      <w:proofErr w:type="gramStart"/>
      <w:r w:rsidRPr="00EF61EB">
        <w:t>licenses .</w:t>
      </w:r>
      <w:proofErr w:type="gramEnd"/>
      <w:r w:rsidRPr="00EF61EB">
        <w:t xml:space="preserve"> These licenses contain</w:t>
      </w:r>
      <w:r w:rsidR="0083344D">
        <w:t>ed</w:t>
      </w:r>
      <w:r w:rsidRPr="00EF61EB">
        <w:t xml:space="preserve"> rules concerning certain refunds that were payable</w:t>
      </w:r>
      <w:r w:rsidR="0083344D">
        <w:t xml:space="preserve">, </w:t>
      </w:r>
      <w:r w:rsidRPr="00EF61EB">
        <w:t xml:space="preserve">the amount of the refund being fixed in advance. The Commission suddenly altered this scheme </w:t>
      </w:r>
      <w:r w:rsidR="0083344D">
        <w:t>and the</w:t>
      </w:r>
      <w:r w:rsidRPr="00EF61EB">
        <w:t xml:space="preserve"> changed rules operated to </w:t>
      </w:r>
      <w:proofErr w:type="spellStart"/>
      <w:r w:rsidR="0083344D">
        <w:t>Topfer’s</w:t>
      </w:r>
      <w:proofErr w:type="spellEnd"/>
      <w:r w:rsidR="0083344D">
        <w:t xml:space="preserve"> </w:t>
      </w:r>
      <w:r w:rsidRPr="00EF61EB">
        <w:t xml:space="preserve">disadvantage. </w:t>
      </w:r>
      <w:proofErr w:type="spellStart"/>
      <w:r w:rsidRPr="00EF61EB">
        <w:t>Top</w:t>
      </w:r>
      <w:r w:rsidR="0083344D">
        <w:t>fer</w:t>
      </w:r>
      <w:proofErr w:type="spellEnd"/>
      <w:r w:rsidRPr="00EF61EB">
        <w:t xml:space="preserve"> </w:t>
      </w:r>
      <w:r w:rsidR="0083344D">
        <w:t>s</w:t>
      </w:r>
      <w:r w:rsidRPr="00EF61EB">
        <w:t xml:space="preserve">ought to have the new </w:t>
      </w:r>
      <w:r w:rsidR="0083344D">
        <w:t>R</w:t>
      </w:r>
      <w:r w:rsidRPr="00EF61EB">
        <w:t xml:space="preserve">egulation </w:t>
      </w:r>
      <w:r w:rsidR="0083344D">
        <w:t xml:space="preserve">annulled </w:t>
      </w:r>
      <w:r w:rsidRPr="00EF61EB">
        <w:t>for breach of the principle of legitimate expectation. The case did not succeed on its m</w:t>
      </w:r>
      <w:r w:rsidR="0083344D">
        <w:t>erit</w:t>
      </w:r>
      <w:r w:rsidRPr="00EF61EB">
        <w:t xml:space="preserve">s, but the CJ upheld the principle of legitimate expectation as a principle of EU law. </w:t>
      </w:r>
    </w:p>
    <w:p w14:paraId="1CE02B2F" w14:textId="66DFC047" w:rsidR="00EF61EB" w:rsidRDefault="00EF61EB" w:rsidP="008A4CA6">
      <w:r w:rsidRPr="00EF61EB">
        <w:t xml:space="preserve">The second issue arising under the heading of certainty is the </w:t>
      </w:r>
      <w:r w:rsidRPr="0083344D">
        <w:rPr>
          <w:b/>
          <w:bCs/>
        </w:rPr>
        <w:t>principle of non</w:t>
      </w:r>
      <w:r w:rsidR="0083344D">
        <w:rPr>
          <w:b/>
          <w:bCs/>
        </w:rPr>
        <w:t>-</w:t>
      </w:r>
      <w:r w:rsidRPr="0083344D">
        <w:rPr>
          <w:b/>
          <w:bCs/>
        </w:rPr>
        <w:t>retroactivity</w:t>
      </w:r>
      <w:r w:rsidRPr="00EF61EB">
        <w:t xml:space="preserve">. This principle precludes a measure taking effect before its publication. This is particularly so in relation to the criminal law where the effect of a retrospective measure may be to criminalise activity which was lawful when it was undertaken. The application of retrospective measures could also be extremely damaging to commercial transactions where </w:t>
      </w:r>
      <w:r w:rsidR="0083344D">
        <w:t xml:space="preserve">a </w:t>
      </w:r>
      <w:r w:rsidRPr="00EF61EB">
        <w:t xml:space="preserve">retrospective measure might upset the assumptions on which important transactions had been based. </w:t>
      </w:r>
    </w:p>
    <w:p w14:paraId="30E04055" w14:textId="03E3F3FC" w:rsidR="0083344D" w:rsidRDefault="0083344D" w:rsidP="008A4CA6">
      <w:r>
        <w:t xml:space="preserve">For criminal measures, an illustration of non-retroactivity is provided by Case 63/83, </w:t>
      </w:r>
      <w:r>
        <w:rPr>
          <w:b/>
          <w:bCs/>
          <w:i/>
          <w:iCs/>
        </w:rPr>
        <w:t xml:space="preserve">Kirk [1984].  </w:t>
      </w:r>
      <w:r>
        <w:t xml:space="preserve"> Captain Kirk was a Danish fisherman who was arrested while fishing within the UK’s 12-mile zone on 06.01.1983.  When the UK joined the Community in 1973, it has been allowed to derogate from some provisions of Community law, including retaining the right to exclude fishing boats from other MSs from UK waters.  This derogation was granted until 31.12.1982.  At the end of this period the </w:t>
      </w:r>
      <w:proofErr w:type="spellStart"/>
      <w:r>
        <w:t>Uk</w:t>
      </w:r>
      <w:proofErr w:type="spellEnd"/>
      <w:r>
        <w:t xml:space="preserve"> had applied for an extension but this was not granted until 25.01.1983.  </w:t>
      </w:r>
      <w:r w:rsidR="008176DE">
        <w:t>Captain Kirk was therefore fishing after the end derogation had expired but before the new one took over.  CJ held in favour of Captain Kirk and said,</w:t>
      </w:r>
    </w:p>
    <w:p w14:paraId="5B13CA62" w14:textId="400E0553" w:rsidR="008176DE" w:rsidRDefault="008176DE" w:rsidP="008A4CA6">
      <w:pPr>
        <w:rPr>
          <w:i/>
          <w:iCs/>
        </w:rPr>
      </w:pPr>
      <w:r w:rsidRPr="008176DE">
        <w:rPr>
          <w:i/>
          <w:iCs/>
        </w:rPr>
        <w:t xml:space="preserve">The principle that penal provisions may not have retroactive effect is one that is common to all the legal orders of the </w:t>
      </w:r>
      <w:r>
        <w:rPr>
          <w:i/>
          <w:iCs/>
        </w:rPr>
        <w:t>M</w:t>
      </w:r>
      <w:r w:rsidRPr="008176DE">
        <w:rPr>
          <w:i/>
          <w:iCs/>
        </w:rPr>
        <w:t xml:space="preserve">ember States and is enshrined in </w:t>
      </w:r>
      <w:r w:rsidRPr="008176DE">
        <w:rPr>
          <w:b/>
          <w:bCs/>
          <w:i/>
          <w:iCs/>
        </w:rPr>
        <w:t>Article 7 ECHR</w:t>
      </w:r>
      <w:r w:rsidRPr="008176DE">
        <w:rPr>
          <w:i/>
          <w:iCs/>
        </w:rPr>
        <w:t xml:space="preserve"> as a fundamental right; It takes its place among the general principles of law wh</w:t>
      </w:r>
      <w:r>
        <w:rPr>
          <w:i/>
          <w:iCs/>
        </w:rPr>
        <w:t>o</w:t>
      </w:r>
      <w:r w:rsidRPr="008176DE">
        <w:rPr>
          <w:i/>
          <w:iCs/>
        </w:rPr>
        <w:t>s</w:t>
      </w:r>
      <w:r>
        <w:rPr>
          <w:i/>
          <w:iCs/>
        </w:rPr>
        <w:t>e</w:t>
      </w:r>
      <w:r w:rsidRPr="008176DE">
        <w:rPr>
          <w:i/>
          <w:iCs/>
        </w:rPr>
        <w:t xml:space="preserve"> observance</w:t>
      </w:r>
      <w:r>
        <w:rPr>
          <w:i/>
          <w:iCs/>
        </w:rPr>
        <w:t xml:space="preserve"> is</w:t>
      </w:r>
      <w:r w:rsidRPr="008176DE">
        <w:rPr>
          <w:i/>
          <w:iCs/>
        </w:rPr>
        <w:t xml:space="preserve"> insured by the Court of Justice. </w:t>
      </w:r>
    </w:p>
    <w:p w14:paraId="4C366D36" w14:textId="77777777" w:rsidR="000B4C92" w:rsidRDefault="008176DE" w:rsidP="008A4CA6">
      <w:r w:rsidRPr="008176DE">
        <w:t>Whilst legislation should not have retrospective effect</w:t>
      </w:r>
      <w:r>
        <w:t xml:space="preserve">, </w:t>
      </w:r>
      <w:r w:rsidRPr="008176DE">
        <w:t>the same does not generally apply to decisions of the Court of Justice or General Court. This is</w:t>
      </w:r>
      <w:r>
        <w:t xml:space="preserve"> be</w:t>
      </w:r>
      <w:r w:rsidRPr="008176DE">
        <w:t>cause their rulings and decisions are a reflection of what the law has always been. However, so far as non</w:t>
      </w:r>
      <w:r>
        <w:t>-</w:t>
      </w:r>
      <w:r w:rsidRPr="008176DE">
        <w:t>criminal activity is concerned</w:t>
      </w:r>
      <w:r>
        <w:t xml:space="preserve">, </w:t>
      </w:r>
      <w:r w:rsidRPr="008176DE">
        <w:t>the Court of Justice has ruled that in exceptional circumstances, its rulings will be non</w:t>
      </w:r>
      <w:r>
        <w:t>-</w:t>
      </w:r>
      <w:r w:rsidRPr="008176DE">
        <w:t xml:space="preserve">retroactive. In </w:t>
      </w:r>
      <w:r>
        <w:t>C</w:t>
      </w:r>
      <w:r w:rsidRPr="008176DE">
        <w:t>ase 43</w:t>
      </w:r>
      <w:r>
        <w:t>/</w:t>
      </w:r>
      <w:r w:rsidRPr="008176DE">
        <w:t xml:space="preserve">75 </w:t>
      </w:r>
      <w:proofErr w:type="spellStart"/>
      <w:r>
        <w:rPr>
          <w:b/>
          <w:bCs/>
          <w:i/>
          <w:iCs/>
        </w:rPr>
        <w:t>Defrenne</w:t>
      </w:r>
      <w:proofErr w:type="spellEnd"/>
      <w:r>
        <w:rPr>
          <w:b/>
          <w:bCs/>
          <w:i/>
          <w:iCs/>
        </w:rPr>
        <w:t xml:space="preserve"> v Sabena (No.</w:t>
      </w:r>
      <w:proofErr w:type="gramStart"/>
      <w:r>
        <w:rPr>
          <w:b/>
          <w:bCs/>
          <w:i/>
          <w:iCs/>
        </w:rPr>
        <w:t>2)[</w:t>
      </w:r>
      <w:proofErr w:type="gramEnd"/>
      <w:r w:rsidRPr="008176DE">
        <w:rPr>
          <w:b/>
          <w:bCs/>
          <w:i/>
          <w:iCs/>
        </w:rPr>
        <w:t>1976</w:t>
      </w:r>
      <w:r>
        <w:rPr>
          <w:b/>
          <w:bCs/>
          <w:i/>
          <w:iCs/>
        </w:rPr>
        <w:t>]</w:t>
      </w:r>
      <w:r w:rsidRPr="008176DE">
        <w:t>, it said that important considerations of legal certainty meant that EU equal pay provisions could only apply prospectively. In this case</w:t>
      </w:r>
      <w:r>
        <w:t xml:space="preserve">, </w:t>
      </w:r>
      <w:r w:rsidRPr="008176DE">
        <w:t xml:space="preserve">the court would not allow EU provisions to be relied on to support claims concerning pay periods prior to the date of the judgement. The Court of Justice did stress that </w:t>
      </w:r>
      <w:proofErr w:type="spellStart"/>
      <w:r>
        <w:rPr>
          <w:b/>
          <w:bCs/>
          <w:i/>
          <w:iCs/>
        </w:rPr>
        <w:t>Defrenne</w:t>
      </w:r>
      <w:proofErr w:type="spellEnd"/>
      <w:r w:rsidRPr="008176DE">
        <w:t xml:space="preserve"> was an exceptional case. That the court's ruling would only be non</w:t>
      </w:r>
      <w:r>
        <w:t>-</w:t>
      </w:r>
      <w:r w:rsidRPr="008176DE">
        <w:t xml:space="preserve">retroactive in special cases was confirmed in </w:t>
      </w:r>
      <w:r>
        <w:t>C</w:t>
      </w:r>
      <w:r w:rsidRPr="008176DE">
        <w:t>ase 262</w:t>
      </w:r>
      <w:r>
        <w:t>/</w:t>
      </w:r>
      <w:r w:rsidRPr="008176DE">
        <w:t xml:space="preserve">88 </w:t>
      </w:r>
      <w:r w:rsidRPr="008176DE">
        <w:rPr>
          <w:b/>
          <w:bCs/>
          <w:i/>
          <w:iCs/>
        </w:rPr>
        <w:t xml:space="preserve">Barber </w:t>
      </w:r>
      <w:r>
        <w:rPr>
          <w:b/>
          <w:bCs/>
          <w:i/>
          <w:iCs/>
        </w:rPr>
        <w:t xml:space="preserve">v </w:t>
      </w:r>
      <w:r w:rsidRPr="008176DE">
        <w:rPr>
          <w:b/>
          <w:bCs/>
          <w:i/>
          <w:iCs/>
        </w:rPr>
        <w:t xml:space="preserve">Guardian Royal Exchange </w:t>
      </w:r>
      <w:r>
        <w:rPr>
          <w:b/>
          <w:bCs/>
          <w:i/>
          <w:iCs/>
        </w:rPr>
        <w:t>G</w:t>
      </w:r>
      <w:r w:rsidRPr="008176DE">
        <w:rPr>
          <w:b/>
          <w:bCs/>
          <w:i/>
          <w:iCs/>
        </w:rPr>
        <w:t xml:space="preserve">roup </w:t>
      </w:r>
      <w:r>
        <w:rPr>
          <w:b/>
          <w:bCs/>
          <w:i/>
          <w:iCs/>
        </w:rPr>
        <w:t>[</w:t>
      </w:r>
      <w:r w:rsidRPr="008176DE">
        <w:rPr>
          <w:b/>
          <w:bCs/>
          <w:i/>
          <w:iCs/>
        </w:rPr>
        <w:t>1990</w:t>
      </w:r>
      <w:r>
        <w:rPr>
          <w:b/>
          <w:bCs/>
          <w:i/>
          <w:iCs/>
        </w:rPr>
        <w:t>]</w:t>
      </w:r>
      <w:r w:rsidRPr="008176DE">
        <w:t xml:space="preserve">. This case concerned the provision of equal pensions for males and females and the Court of Justice, in response to submissions made </w:t>
      </w:r>
      <w:r>
        <w:t>by</w:t>
      </w:r>
      <w:r w:rsidRPr="008176DE">
        <w:t xml:space="preserve"> the UK government concerning the serious financial consequences the ruling would have, decided, as it had in </w:t>
      </w:r>
      <w:proofErr w:type="spellStart"/>
      <w:r w:rsidR="000B4C92">
        <w:rPr>
          <w:b/>
          <w:bCs/>
          <w:i/>
          <w:iCs/>
        </w:rPr>
        <w:t>Defrenne</w:t>
      </w:r>
      <w:proofErr w:type="spellEnd"/>
      <w:r w:rsidRPr="008176DE">
        <w:t>, to limit the retroactive nature of its ruling. It said:</w:t>
      </w:r>
    </w:p>
    <w:p w14:paraId="74EF0FAD" w14:textId="4C2E8D3C" w:rsidR="008176DE" w:rsidRDefault="008176DE" w:rsidP="008A4CA6">
      <w:pPr>
        <w:rPr>
          <w:i/>
          <w:iCs/>
        </w:rPr>
      </w:pPr>
      <w:r w:rsidRPr="000B4C92">
        <w:rPr>
          <w:i/>
          <w:iCs/>
        </w:rPr>
        <w:t xml:space="preserve"> </w:t>
      </w:r>
      <w:r w:rsidR="000B4C92" w:rsidRPr="000B4C92">
        <w:rPr>
          <w:i/>
          <w:iCs/>
        </w:rPr>
        <w:t>“</w:t>
      </w:r>
      <w:r w:rsidRPr="000B4C92">
        <w:rPr>
          <w:i/>
          <w:iCs/>
        </w:rPr>
        <w:t>in those circumstances, overriding considerations of legal certainty preclude legal situations which have exhausted all their effects in the past from being called into question where they might retroactively upset the financial balance of many contracted</w:t>
      </w:r>
      <w:r w:rsidR="000B4C92" w:rsidRPr="000B4C92">
        <w:rPr>
          <w:i/>
          <w:iCs/>
        </w:rPr>
        <w:t>-</w:t>
      </w:r>
      <w:r w:rsidRPr="000B4C92">
        <w:rPr>
          <w:i/>
          <w:iCs/>
        </w:rPr>
        <w:t>out pension schemes.</w:t>
      </w:r>
      <w:r w:rsidR="000B4C92" w:rsidRPr="000B4C92">
        <w:rPr>
          <w:i/>
          <w:iCs/>
        </w:rPr>
        <w:t>”</w:t>
      </w:r>
      <w:r w:rsidRPr="000B4C92">
        <w:rPr>
          <w:i/>
          <w:iCs/>
        </w:rPr>
        <w:t xml:space="preserve"> </w:t>
      </w:r>
    </w:p>
    <w:p w14:paraId="30ED20BF" w14:textId="36003976" w:rsidR="001908F8" w:rsidRDefault="001908F8" w:rsidP="008A4CA6">
      <w:pPr>
        <w:rPr>
          <w:b/>
          <w:bCs/>
        </w:rPr>
      </w:pPr>
      <w:r>
        <w:rPr>
          <w:b/>
          <w:bCs/>
        </w:rPr>
        <w:t>Equality</w:t>
      </w:r>
    </w:p>
    <w:p w14:paraId="507D05CD" w14:textId="5D6C7B1E" w:rsidR="001908F8" w:rsidRPr="001908F8" w:rsidRDefault="001908F8" w:rsidP="008A4CA6">
      <w:r w:rsidRPr="001908F8">
        <w:lastRenderedPageBreak/>
        <w:t>Equality before the law is seen as an essential aspect of any developed legal system. On innumerable occasions</w:t>
      </w:r>
      <w:r>
        <w:t xml:space="preserve">, </w:t>
      </w:r>
      <w:r w:rsidRPr="001908F8">
        <w:t xml:space="preserve">the Court of Justice has ruled against discriminatory treatment of similar situations or products. </w:t>
      </w:r>
    </w:p>
    <w:p w14:paraId="63E6F484" w14:textId="7ECBF611" w:rsidR="001908F8" w:rsidRPr="001908F8" w:rsidRDefault="001908F8" w:rsidP="008A4CA6">
      <w:r w:rsidRPr="001908F8">
        <w:t xml:space="preserve">In </w:t>
      </w:r>
      <w:r w:rsidRPr="001908F8">
        <w:rPr>
          <w:b/>
          <w:bCs/>
          <w:i/>
          <w:iCs/>
        </w:rPr>
        <w:t xml:space="preserve">Cowan </w:t>
      </w:r>
      <w:r>
        <w:rPr>
          <w:b/>
          <w:bCs/>
          <w:i/>
          <w:iCs/>
        </w:rPr>
        <w:t>[</w:t>
      </w:r>
      <w:r w:rsidRPr="001908F8">
        <w:rPr>
          <w:b/>
          <w:bCs/>
          <w:i/>
          <w:iCs/>
        </w:rPr>
        <w:t>19</w:t>
      </w:r>
      <w:r>
        <w:rPr>
          <w:b/>
          <w:bCs/>
          <w:i/>
          <w:iCs/>
        </w:rPr>
        <w:t>8</w:t>
      </w:r>
      <w:r w:rsidRPr="001908F8">
        <w:rPr>
          <w:b/>
          <w:bCs/>
          <w:i/>
          <w:iCs/>
        </w:rPr>
        <w:t>9</w:t>
      </w:r>
      <w:r>
        <w:rPr>
          <w:b/>
          <w:bCs/>
          <w:i/>
          <w:iCs/>
        </w:rPr>
        <w:t>]</w:t>
      </w:r>
      <w:r w:rsidRPr="001908F8">
        <w:t xml:space="preserve">, the Court of Justice adopted a very broad interpretation of the </w:t>
      </w:r>
      <w:r w:rsidRPr="001908F8">
        <w:rPr>
          <w:b/>
          <w:bCs/>
        </w:rPr>
        <w:t>Article 18 TFEU</w:t>
      </w:r>
      <w:r w:rsidRPr="001908F8">
        <w:t xml:space="preserve"> non</w:t>
      </w:r>
      <w:r>
        <w:t>-</w:t>
      </w:r>
      <w:r w:rsidRPr="001908F8">
        <w:t>discrimination provision. In this case, it stated that non</w:t>
      </w:r>
      <w:r>
        <w:t>-n</w:t>
      </w:r>
      <w:r w:rsidRPr="001908F8">
        <w:t>ationals were entitled to the same protection against crime</w:t>
      </w:r>
      <w:r>
        <w:t xml:space="preserve">, </w:t>
      </w:r>
      <w:r w:rsidRPr="001908F8">
        <w:t>and compensation if they became victims of crime</w:t>
      </w:r>
      <w:r>
        <w:t xml:space="preserve">, </w:t>
      </w:r>
      <w:r w:rsidRPr="001908F8">
        <w:t xml:space="preserve">as the </w:t>
      </w:r>
      <w:r>
        <w:t>n</w:t>
      </w:r>
      <w:r w:rsidRPr="001908F8">
        <w:t>ationals of that state.</w:t>
      </w:r>
    </w:p>
    <w:p w14:paraId="4C856B68" w14:textId="77777777" w:rsidR="00631BA0" w:rsidRDefault="001908F8" w:rsidP="008A4CA6">
      <w:r w:rsidRPr="001908F8">
        <w:t xml:space="preserve">In </w:t>
      </w:r>
      <w:r>
        <w:t>C</w:t>
      </w:r>
      <w:r w:rsidRPr="001908F8">
        <w:t>ase 41</w:t>
      </w:r>
      <w:r>
        <w:t>/</w:t>
      </w:r>
      <w:r w:rsidRPr="001908F8">
        <w:t>74</w:t>
      </w:r>
      <w:r>
        <w:t xml:space="preserve">, </w:t>
      </w:r>
      <w:r w:rsidRPr="001908F8">
        <w:t xml:space="preserve"> </w:t>
      </w:r>
      <w:r w:rsidR="00631BA0">
        <w:rPr>
          <w:b/>
          <w:bCs/>
          <w:i/>
          <w:iCs/>
        </w:rPr>
        <w:t>V</w:t>
      </w:r>
      <w:r w:rsidRPr="00631BA0">
        <w:rPr>
          <w:b/>
          <w:bCs/>
          <w:i/>
          <w:iCs/>
        </w:rPr>
        <w:t xml:space="preserve">an </w:t>
      </w:r>
      <w:proofErr w:type="spellStart"/>
      <w:r w:rsidRPr="00631BA0">
        <w:rPr>
          <w:b/>
          <w:bCs/>
          <w:i/>
          <w:iCs/>
        </w:rPr>
        <w:t>D</w:t>
      </w:r>
      <w:r w:rsidR="00631BA0">
        <w:rPr>
          <w:b/>
          <w:bCs/>
          <w:i/>
          <w:iCs/>
        </w:rPr>
        <w:t>uyn</w:t>
      </w:r>
      <w:proofErr w:type="spellEnd"/>
      <w:r w:rsidRPr="00631BA0">
        <w:rPr>
          <w:b/>
          <w:bCs/>
          <w:i/>
          <w:iCs/>
        </w:rPr>
        <w:t xml:space="preserve"> </w:t>
      </w:r>
      <w:r w:rsidR="00631BA0">
        <w:rPr>
          <w:b/>
          <w:bCs/>
          <w:i/>
          <w:iCs/>
        </w:rPr>
        <w:t>v</w:t>
      </w:r>
      <w:r w:rsidRPr="00631BA0">
        <w:rPr>
          <w:b/>
          <w:bCs/>
          <w:i/>
          <w:iCs/>
        </w:rPr>
        <w:t xml:space="preserve"> Home Office </w:t>
      </w:r>
      <w:r w:rsidR="00631BA0">
        <w:rPr>
          <w:b/>
          <w:bCs/>
          <w:i/>
          <w:iCs/>
        </w:rPr>
        <w:t>[</w:t>
      </w:r>
      <w:r w:rsidRPr="00631BA0">
        <w:rPr>
          <w:b/>
          <w:bCs/>
          <w:i/>
          <w:iCs/>
        </w:rPr>
        <w:t>1974</w:t>
      </w:r>
      <w:r w:rsidR="00631BA0">
        <w:rPr>
          <w:b/>
          <w:bCs/>
          <w:i/>
          <w:iCs/>
        </w:rPr>
        <w:t>]</w:t>
      </w:r>
      <w:r w:rsidRPr="001908F8">
        <w:t xml:space="preserve"> and joined </w:t>
      </w:r>
      <w:r w:rsidR="00631BA0">
        <w:t>C</w:t>
      </w:r>
      <w:r w:rsidRPr="001908F8">
        <w:t>ases 115</w:t>
      </w:r>
      <w:r w:rsidR="00631BA0">
        <w:t>-</w:t>
      </w:r>
      <w:r w:rsidRPr="001908F8">
        <w:t>6</w:t>
      </w:r>
      <w:r w:rsidR="00631BA0">
        <w:t>/</w:t>
      </w:r>
      <w:r w:rsidRPr="001908F8">
        <w:t xml:space="preserve">81 </w:t>
      </w:r>
      <w:proofErr w:type="spellStart"/>
      <w:r w:rsidR="00631BA0">
        <w:rPr>
          <w:b/>
          <w:bCs/>
          <w:i/>
          <w:iCs/>
        </w:rPr>
        <w:t>Adoui</w:t>
      </w:r>
      <w:proofErr w:type="spellEnd"/>
      <w:r w:rsidR="00631BA0">
        <w:rPr>
          <w:b/>
          <w:bCs/>
          <w:i/>
          <w:iCs/>
        </w:rPr>
        <w:t xml:space="preserve"> and </w:t>
      </w:r>
      <w:proofErr w:type="spellStart"/>
      <w:r w:rsidR="00631BA0">
        <w:rPr>
          <w:b/>
          <w:bCs/>
          <w:i/>
          <w:iCs/>
        </w:rPr>
        <w:t>Cornuaille</w:t>
      </w:r>
      <w:proofErr w:type="spellEnd"/>
      <w:r w:rsidR="00631BA0">
        <w:rPr>
          <w:b/>
          <w:bCs/>
          <w:i/>
          <w:iCs/>
        </w:rPr>
        <w:t xml:space="preserve"> v Belgium [1982], </w:t>
      </w:r>
      <w:r w:rsidRPr="001908F8">
        <w:t xml:space="preserve">the Court of Justice emphasised that it followed from this principle and </w:t>
      </w:r>
      <w:r w:rsidR="00631BA0">
        <w:rPr>
          <w:b/>
          <w:bCs/>
        </w:rPr>
        <w:t>Art 18 TFEU</w:t>
      </w:r>
      <w:r w:rsidR="00631BA0">
        <w:t xml:space="preserve"> </w:t>
      </w:r>
      <w:r w:rsidRPr="001908F8">
        <w:t xml:space="preserve">that no discrimination in the legal regime applicable under national law to a state's own </w:t>
      </w:r>
      <w:r w:rsidR="00631BA0">
        <w:t>n</w:t>
      </w:r>
      <w:r w:rsidRPr="001908F8">
        <w:t xml:space="preserve">ationals and </w:t>
      </w:r>
      <w:r w:rsidR="00631BA0">
        <w:t>n</w:t>
      </w:r>
      <w:r w:rsidRPr="001908F8">
        <w:t xml:space="preserve">ationals of other </w:t>
      </w:r>
      <w:r w:rsidR="00631BA0">
        <w:t>M</w:t>
      </w:r>
      <w:r w:rsidRPr="001908F8">
        <w:t xml:space="preserve">ember </w:t>
      </w:r>
      <w:r w:rsidR="00631BA0">
        <w:t>S</w:t>
      </w:r>
      <w:r w:rsidRPr="001908F8">
        <w:t xml:space="preserve">tates could be permitted under </w:t>
      </w:r>
      <w:r w:rsidR="00631BA0">
        <w:t>C</w:t>
      </w:r>
      <w:r w:rsidRPr="001908F8">
        <w:t>ommunity law</w:t>
      </w:r>
      <w:r w:rsidR="00631BA0">
        <w:t>.</w:t>
      </w:r>
    </w:p>
    <w:p w14:paraId="41A9370A" w14:textId="3C0FCC7C" w:rsidR="001908F8" w:rsidRDefault="001908F8" w:rsidP="008A4CA6">
      <w:r w:rsidRPr="001908F8">
        <w:t xml:space="preserve"> </w:t>
      </w:r>
      <w:r w:rsidR="00631BA0">
        <w:t>J</w:t>
      </w:r>
      <w:r w:rsidRPr="001908F8">
        <w:t xml:space="preserve">oined </w:t>
      </w:r>
      <w:r w:rsidR="00631BA0">
        <w:t>C</w:t>
      </w:r>
      <w:r w:rsidRPr="001908F8">
        <w:t xml:space="preserve">ases 103 and </w:t>
      </w:r>
      <w:r w:rsidR="00631BA0">
        <w:t xml:space="preserve">145/77, </w:t>
      </w:r>
      <w:r w:rsidR="00631BA0">
        <w:rPr>
          <w:b/>
          <w:bCs/>
          <w:i/>
          <w:iCs/>
        </w:rPr>
        <w:t xml:space="preserve">First </w:t>
      </w:r>
      <w:proofErr w:type="spellStart"/>
      <w:r w:rsidR="00631BA0">
        <w:rPr>
          <w:b/>
          <w:bCs/>
          <w:i/>
          <w:iCs/>
        </w:rPr>
        <w:t>Isoglucose</w:t>
      </w:r>
      <w:proofErr w:type="spellEnd"/>
      <w:r w:rsidR="00631BA0">
        <w:rPr>
          <w:b/>
          <w:bCs/>
          <w:i/>
          <w:iCs/>
        </w:rPr>
        <w:t xml:space="preserve"> Cases [1978] </w:t>
      </w:r>
      <w:r w:rsidR="00631BA0">
        <w:t>Illustrate the application of the principle of equality where the discrimination which arose was between producers and consumers, prohibited under the Treaty rules relating to agriculture.</w:t>
      </w:r>
      <w:r w:rsidRPr="001908F8">
        <w:t xml:space="preserve"> </w:t>
      </w:r>
    </w:p>
    <w:p w14:paraId="4524796D" w14:textId="5032A5DE" w:rsidR="00D25CFE" w:rsidRDefault="00D25CFE" w:rsidP="008A4CA6">
      <w:pPr>
        <w:rPr>
          <w:b/>
          <w:bCs/>
        </w:rPr>
      </w:pPr>
      <w:r>
        <w:rPr>
          <w:b/>
          <w:bCs/>
        </w:rPr>
        <w:t>Natural Justice</w:t>
      </w:r>
    </w:p>
    <w:p w14:paraId="51F806D5" w14:textId="0AF7A388" w:rsidR="00847526" w:rsidRDefault="00847526" w:rsidP="008A4CA6">
      <w:r>
        <w:t xml:space="preserve">The notion of the right to be heard, which we have in administrative law, has been accepted by the CJ and applied to the Community’s dealings.  Case 17/74, </w:t>
      </w:r>
      <w:proofErr w:type="spellStart"/>
      <w:r>
        <w:rPr>
          <w:b/>
          <w:bCs/>
          <w:i/>
          <w:iCs/>
        </w:rPr>
        <w:t>Transcoen</w:t>
      </w:r>
      <w:proofErr w:type="spellEnd"/>
      <w:r>
        <w:rPr>
          <w:b/>
          <w:bCs/>
          <w:i/>
          <w:iCs/>
        </w:rPr>
        <w:t xml:space="preserve"> Marine Paint Association v Commission [1974]</w:t>
      </w:r>
      <w:r>
        <w:t xml:space="preserve">.  This was about competition rules.  </w:t>
      </w:r>
      <w:proofErr w:type="spellStart"/>
      <w:r>
        <w:t>Transcoen</w:t>
      </w:r>
      <w:proofErr w:type="spellEnd"/>
      <w:r>
        <w:t xml:space="preserve"> Marine Paint (TMP) had enjoyed an exemption for 10yrs in respect of certain conditions in the agreement establishing the TMP Association.  On renewal, new conditions were imposed which the Association had not been given the opportunity to comment on.  They challenged the decision, though not on this point.  Advocate-General Warner (the British Advocate-General) proposed to the CJ that the case should be decided on the basis that there had been a breach of natural justice.  This was accepted, the CJ holding that there is a general principle that;</w:t>
      </w:r>
    </w:p>
    <w:p w14:paraId="5949547F" w14:textId="019D5038" w:rsidR="00847526" w:rsidRDefault="00847526" w:rsidP="008A4CA6">
      <w:pPr>
        <w:rPr>
          <w:i/>
          <w:iCs/>
        </w:rPr>
      </w:pPr>
      <w:r>
        <w:rPr>
          <w:i/>
          <w:iCs/>
        </w:rPr>
        <w:t>“a person whose interests are perceptibly affected by a decision taken by a public authority must be given the opportunity to make his point known.”</w:t>
      </w:r>
    </w:p>
    <w:p w14:paraId="0B1B1850" w14:textId="3739580B" w:rsidR="00847526" w:rsidRDefault="00847526" w:rsidP="008A4CA6">
      <w:r>
        <w:t>Since this had not been done, the conditions were an</w:t>
      </w:r>
      <w:r w:rsidR="005227CD">
        <w:t>n</w:t>
      </w:r>
      <w:r>
        <w:t>ul</w:t>
      </w:r>
      <w:r w:rsidR="005227CD">
        <w:t>l</w:t>
      </w:r>
      <w:r>
        <w:t>ed.</w:t>
      </w:r>
    </w:p>
    <w:p w14:paraId="0F6992E3" w14:textId="2DF36B8C" w:rsidR="00847526" w:rsidRDefault="00847526" w:rsidP="008A4CA6">
      <w:pPr>
        <w:rPr>
          <w:b/>
          <w:bCs/>
        </w:rPr>
      </w:pPr>
      <w:r>
        <w:rPr>
          <w:b/>
          <w:bCs/>
        </w:rPr>
        <w:t>Protection of fundamental rights</w:t>
      </w:r>
    </w:p>
    <w:p w14:paraId="6E71B39F" w14:textId="311362DF" w:rsidR="005227CD" w:rsidRPr="005227CD" w:rsidRDefault="005227CD" w:rsidP="008A4CA6">
      <w:pPr>
        <w:rPr>
          <w:i/>
          <w:iCs/>
        </w:rPr>
      </w:pPr>
      <w:r>
        <w:t xml:space="preserve">Respect for human rights is perhaps a catch-all term and the terms “human rights” and “fundamental rights” are used interchangeably.  The initial reaction of the CJ to protecting fundamental rights was not encouraging which isn’t that surprising when you consider that the initial motivation was economic matters.  In earlier cases such as Case 40/64, </w:t>
      </w:r>
      <w:proofErr w:type="spellStart"/>
      <w:r>
        <w:rPr>
          <w:b/>
          <w:bCs/>
          <w:i/>
          <w:iCs/>
        </w:rPr>
        <w:t>Sgarlata</w:t>
      </w:r>
      <w:proofErr w:type="spellEnd"/>
      <w:r>
        <w:rPr>
          <w:b/>
          <w:bCs/>
          <w:i/>
          <w:iCs/>
        </w:rPr>
        <w:t xml:space="preserve"> [1965]</w:t>
      </w:r>
      <w:r>
        <w:t xml:space="preserve">, the CJ insisted that EU law </w:t>
      </w:r>
      <w:r>
        <w:rPr>
          <w:i/>
          <w:iCs/>
        </w:rPr>
        <w:t>“does not contain any general principle, express or otherwise, guaranteeing the maintenance of vested rights.</w:t>
      </w:r>
    </w:p>
    <w:p w14:paraId="4033C09E" w14:textId="0F257750" w:rsidR="00EF61EB" w:rsidRDefault="005227CD" w:rsidP="008A4CA6">
      <w:r>
        <w:t xml:space="preserve">In 1969 the CJ adopted a Community (now EU) concept of human rights and stated that it would itself protect those human rights. The first opportunity it had to announce this new doctrine was in Case 29/69, </w:t>
      </w:r>
      <w:proofErr w:type="spellStart"/>
      <w:r>
        <w:rPr>
          <w:b/>
          <w:bCs/>
          <w:i/>
          <w:iCs/>
        </w:rPr>
        <w:t>Stauder</w:t>
      </w:r>
      <w:proofErr w:type="spellEnd"/>
      <w:r>
        <w:rPr>
          <w:b/>
          <w:bCs/>
          <w:i/>
          <w:iCs/>
        </w:rPr>
        <w:t xml:space="preserve"> v City of Ulm [1969].  </w:t>
      </w:r>
      <w:r>
        <w:t xml:space="preserve">This was a Commission Decision that allowed MSs to distribute cheaper butter to citizens who were receiving social security benefits.  To get the benefit, the citizen had to get a coupon from the relevant benefit office.  In Germany, the coupon had to be completed with the name and address of the applicant.  Cl felt that it was humiliating to have to reveal his name and address and argued a violation of his fundamental rights under the German </w:t>
      </w:r>
      <w:r>
        <w:lastRenderedPageBreak/>
        <w:t>constitution.  The CJ said that it was not necessary that the coupon be personalised (other MSs did it without this requirement).  It went further and said:</w:t>
      </w:r>
    </w:p>
    <w:p w14:paraId="2B5EEEB0" w14:textId="3CBDD14B" w:rsidR="005227CD" w:rsidRPr="005227CD" w:rsidRDefault="005227CD" w:rsidP="008A4CA6">
      <w:pPr>
        <w:rPr>
          <w:i/>
          <w:iCs/>
        </w:rPr>
      </w:pPr>
      <w:r>
        <w:rPr>
          <w:i/>
          <w:iCs/>
        </w:rPr>
        <w:t xml:space="preserve">“the provision at issue contains nothing capable of prejudicing </w:t>
      </w:r>
      <w:r w:rsidR="00B51F07">
        <w:rPr>
          <w:i/>
          <w:iCs/>
        </w:rPr>
        <w:t>the fundamental rights enshrined in the general principles of [EU] law and protected by the Court.”</w:t>
      </w:r>
    </w:p>
    <w:p w14:paraId="5BF42EC6" w14:textId="75484166" w:rsidR="008A4CA6" w:rsidRDefault="00B51F07" w:rsidP="008A4CA6">
      <w:r>
        <w:t xml:space="preserve">In the famous Case 11/70, </w:t>
      </w:r>
      <w:r>
        <w:rPr>
          <w:b/>
          <w:bCs/>
          <w:i/>
          <w:iCs/>
        </w:rPr>
        <w:t xml:space="preserve">Internationale </w:t>
      </w:r>
      <w:proofErr w:type="spellStart"/>
      <w:r>
        <w:rPr>
          <w:b/>
          <w:bCs/>
          <w:i/>
          <w:iCs/>
        </w:rPr>
        <w:t>Handelsgesellchaft</w:t>
      </w:r>
      <w:proofErr w:type="spellEnd"/>
      <w:r>
        <w:rPr>
          <w:b/>
          <w:bCs/>
          <w:i/>
          <w:iCs/>
        </w:rPr>
        <w:t xml:space="preserve"> [1970]</w:t>
      </w:r>
      <w:r>
        <w:t>, the CJ held:</w:t>
      </w:r>
    </w:p>
    <w:p w14:paraId="7001EDD2" w14:textId="05B00EC4" w:rsidR="00B51F07" w:rsidRPr="00B51F07" w:rsidRDefault="00B51F07" w:rsidP="008A4CA6">
      <w:pPr>
        <w:rPr>
          <w:i/>
          <w:iCs/>
        </w:rPr>
      </w:pPr>
      <w:r>
        <w:rPr>
          <w:i/>
          <w:iCs/>
        </w:rPr>
        <w:t>“a respect for fundamental rights forms an integral part of the general principles of law protected by the Court of Justice.  The protection of such rights, whilst inspired by the constitutional traditions common to the Member States, must be ensured within the framework of the structure and objectives of the [EU].”</w:t>
      </w:r>
    </w:p>
    <w:p w14:paraId="63462ADF" w14:textId="4B0266C0" w:rsidR="00803CDA" w:rsidRDefault="00B51F07" w:rsidP="00651CAA">
      <w:r>
        <w:t>The CJ and EU have been influenced by treaties and agreements</w:t>
      </w:r>
      <w:r w:rsidR="00073755">
        <w:t xml:space="preserve"> on fundamental rights entered into by </w:t>
      </w:r>
      <w:proofErr w:type="spellStart"/>
      <w:r w:rsidR="00073755">
        <w:t>MSs.</w:t>
      </w:r>
      <w:proofErr w:type="spellEnd"/>
      <w:r w:rsidR="00073755">
        <w:t xml:space="preserve">  The most obvious one, the European Convention on Human Rights (ECHR), enshrines human rights and freedoms and is widely seen as the most important human rights instrument in Europe.  All MSs are contracting parties, although not the EU, and is managed by the Council of Europe (</w:t>
      </w:r>
      <w:proofErr w:type="spellStart"/>
      <w:r w:rsidR="00073755">
        <w:t>CoE</w:t>
      </w:r>
      <w:proofErr w:type="spellEnd"/>
      <w:r w:rsidR="00073755">
        <w:t>).  ECHR is an international Treaty by which governments can be held accountable for their respect of human rights.  If countries do not respect the rights in the ECHR and when national judicial remedies have been exhausted, a complaint against any of those contracting parties can be lodged before the European Court of Human Rights (ECtHR) in Strasbourg.</w:t>
      </w:r>
    </w:p>
    <w:p w14:paraId="422EABED" w14:textId="05DC20C8" w:rsidR="00977608" w:rsidRDefault="00073755" w:rsidP="00977608">
      <w:r>
        <w:t xml:space="preserve">EU law also recognises principles from other international treaties.  For example, Case 149/77, </w:t>
      </w:r>
      <w:proofErr w:type="spellStart"/>
      <w:r>
        <w:rPr>
          <w:b/>
          <w:bCs/>
          <w:i/>
          <w:iCs/>
        </w:rPr>
        <w:t>Defrenne</w:t>
      </w:r>
      <w:proofErr w:type="spellEnd"/>
      <w:r>
        <w:rPr>
          <w:b/>
          <w:bCs/>
          <w:i/>
          <w:iCs/>
        </w:rPr>
        <w:t xml:space="preserve"> v SABENA II [1978] </w:t>
      </w:r>
      <w:r>
        <w:t xml:space="preserve">referred to the </w:t>
      </w:r>
      <w:r>
        <w:rPr>
          <w:b/>
          <w:bCs/>
        </w:rPr>
        <w:t xml:space="preserve">European Social Charter 1961 </w:t>
      </w:r>
      <w:r>
        <w:t xml:space="preserve">and </w:t>
      </w:r>
      <w:r>
        <w:rPr>
          <w:b/>
          <w:bCs/>
        </w:rPr>
        <w:t xml:space="preserve">Convention 111 International Labour Organisation 1958.  </w:t>
      </w:r>
      <w:r w:rsidR="006A68CC">
        <w:t xml:space="preserve">This was to reinforce the application of non-discrimination in the </w:t>
      </w:r>
      <w:proofErr w:type="gramStart"/>
      <w:r w:rsidR="006A68CC">
        <w:t>work place</w:t>
      </w:r>
      <w:proofErr w:type="gramEnd"/>
      <w:r w:rsidR="006A68CC">
        <w:t xml:space="preserve">, specifically gender equality on the terms of employment.  In this case, the applicant challenged her employer’s age limit for flight cabin crew.  The age limit of 40 for women was lower than the limit for men.  Now, the original </w:t>
      </w:r>
      <w:r w:rsidR="006A68CC">
        <w:rPr>
          <w:b/>
          <w:bCs/>
        </w:rPr>
        <w:t xml:space="preserve">Art 119 EC Treaty </w:t>
      </w:r>
      <w:r w:rsidR="006A68CC">
        <w:t xml:space="preserve">(now </w:t>
      </w:r>
      <w:r w:rsidR="006A68CC">
        <w:rPr>
          <w:b/>
          <w:bCs/>
        </w:rPr>
        <w:t>Art 157 TFEU</w:t>
      </w:r>
      <w:r w:rsidR="006A68CC">
        <w:t xml:space="preserve">) provided for equal pay between men and women – but the question was whether this was wider and required equal treatment in other terms of employment.  The CJ confirmed that </w:t>
      </w:r>
      <w:r w:rsidR="006A68CC">
        <w:rPr>
          <w:b/>
          <w:bCs/>
        </w:rPr>
        <w:t xml:space="preserve">Art 119 </w:t>
      </w:r>
      <w:r w:rsidR="006A68CC">
        <w:t xml:space="preserve">only applied to pay.  It then recognised that </w:t>
      </w:r>
      <w:r w:rsidR="006A68CC">
        <w:rPr>
          <w:b/>
          <w:bCs/>
        </w:rPr>
        <w:t xml:space="preserve">Art 119 </w:t>
      </w:r>
      <w:r w:rsidR="006A68CC">
        <w:t>was a result of a wider general principle of equal treatment in employment.  To support such a principle of [EU] law, the CJ made reference to the international treaties protecting women from discrimination in the workplace.</w:t>
      </w:r>
    </w:p>
    <w:p w14:paraId="68E2581E" w14:textId="3AEEBE36" w:rsidR="006A68CC" w:rsidRDefault="006A68CC" w:rsidP="00977608">
      <w:r>
        <w:t xml:space="preserve">Before the entry into force of </w:t>
      </w:r>
      <w:r>
        <w:rPr>
          <w:b/>
          <w:bCs/>
        </w:rPr>
        <w:t xml:space="preserve">TL 2007, </w:t>
      </w:r>
      <w:r>
        <w:t xml:space="preserve">the EU could not sign up to the </w:t>
      </w:r>
      <w:proofErr w:type="gramStart"/>
      <w:r>
        <w:t>ECHR</w:t>
      </w:r>
      <w:proofErr w:type="gramEnd"/>
      <w:r>
        <w:t xml:space="preserve"> but </w:t>
      </w:r>
      <w:r>
        <w:rPr>
          <w:b/>
          <w:bCs/>
        </w:rPr>
        <w:t xml:space="preserve">TL 2007 </w:t>
      </w:r>
      <w:r>
        <w:t xml:space="preserve">now not only provides for this but makes it an </w:t>
      </w:r>
      <w:r w:rsidR="008A7ABA">
        <w:t>obligation.  The effect of the EU being a contracting party to the ECHR simply means that EU law can be assessed by the ECtHR.  So, if individuals feel the EU law infringes any rights from the ECHR, then after exhausting domestic options, they can take the case to the ECtHR.</w:t>
      </w:r>
    </w:p>
    <w:p w14:paraId="7403F5F4" w14:textId="10CE2F5D" w:rsidR="008A7ABA" w:rsidRDefault="008A7ABA" w:rsidP="00977608">
      <w:pPr>
        <w:rPr>
          <w:b/>
          <w:bCs/>
        </w:rPr>
      </w:pPr>
      <w:r>
        <w:rPr>
          <w:b/>
          <w:bCs/>
        </w:rPr>
        <w:t>The EU Charter of Fundamental Rights (CFR)</w:t>
      </w:r>
    </w:p>
    <w:p w14:paraId="401E2C53" w14:textId="18DC62BB" w:rsidR="008A7ABA" w:rsidRDefault="008A7ABA" w:rsidP="00977608">
      <w:r>
        <w:t xml:space="preserve">This has been around since the year 2000.  It represents rights and values that EU law should be consistent with.  Originally, its significance was very limited.  However, MSs agreed to change this using </w:t>
      </w:r>
      <w:r>
        <w:rPr>
          <w:b/>
          <w:bCs/>
        </w:rPr>
        <w:t>TL 2007</w:t>
      </w:r>
      <w:r>
        <w:t xml:space="preserve"> which introduced a provision in </w:t>
      </w:r>
      <w:r>
        <w:rPr>
          <w:b/>
          <w:bCs/>
        </w:rPr>
        <w:t xml:space="preserve">Art 6 TEU </w:t>
      </w:r>
      <w:r>
        <w:t xml:space="preserve">that gives CFR the same legal status and value as the treaties.  One of the first cases to mention CFR following its new legal status is C-555/07, </w:t>
      </w:r>
      <w:r>
        <w:rPr>
          <w:b/>
          <w:bCs/>
          <w:i/>
          <w:iCs/>
        </w:rPr>
        <w:t xml:space="preserve">Seda </w:t>
      </w:r>
      <w:proofErr w:type="spellStart"/>
      <w:r>
        <w:rPr>
          <w:b/>
          <w:bCs/>
          <w:i/>
          <w:iCs/>
        </w:rPr>
        <w:t>Kucukdeveci</w:t>
      </w:r>
      <w:proofErr w:type="spellEnd"/>
      <w:r>
        <w:rPr>
          <w:b/>
          <w:bCs/>
          <w:i/>
          <w:iCs/>
        </w:rPr>
        <w:t xml:space="preserve"> [2010] </w:t>
      </w:r>
      <w:r>
        <w:t xml:space="preserve">about an age discrimination claim in Germany.  In its ruling, the CJ referred to </w:t>
      </w:r>
      <w:r>
        <w:rPr>
          <w:b/>
          <w:bCs/>
        </w:rPr>
        <w:t xml:space="preserve">Art 21 CFR </w:t>
      </w:r>
      <w:r>
        <w:t>which prohibits discrimination on the ground of age.</w:t>
      </w:r>
    </w:p>
    <w:p w14:paraId="59C4597A" w14:textId="2CEC9ADE" w:rsidR="008A7ABA" w:rsidRDefault="008A7ABA" w:rsidP="00977608">
      <w:r>
        <w:t xml:space="preserve">Note that </w:t>
      </w:r>
      <w:r>
        <w:rPr>
          <w:b/>
          <w:bCs/>
        </w:rPr>
        <w:t xml:space="preserve">Art 6 TEU </w:t>
      </w:r>
      <w:r>
        <w:t xml:space="preserve">states that CFR does not extend the competences of the Union that are defined by the Treaties.  It means that it does not really challenge the EU approach to fundamental rights.  In fact, in C-396/11, </w:t>
      </w:r>
      <w:r>
        <w:rPr>
          <w:b/>
          <w:bCs/>
          <w:i/>
          <w:iCs/>
        </w:rPr>
        <w:t xml:space="preserve">Radu [2013] </w:t>
      </w:r>
      <w:r>
        <w:t xml:space="preserve">A-G </w:t>
      </w:r>
      <w:proofErr w:type="spellStart"/>
      <w:r>
        <w:t>Sharpston</w:t>
      </w:r>
      <w:proofErr w:type="spellEnd"/>
      <w:r>
        <w:t xml:space="preserve"> observed:</w:t>
      </w:r>
    </w:p>
    <w:p w14:paraId="0BFE0241" w14:textId="43FD24C7" w:rsidR="008A7ABA" w:rsidRDefault="008A7ABA" w:rsidP="00977608">
      <w:pPr>
        <w:rPr>
          <w:i/>
          <w:iCs/>
        </w:rPr>
      </w:pPr>
      <w:r>
        <w:rPr>
          <w:i/>
          <w:iCs/>
        </w:rPr>
        <w:lastRenderedPageBreak/>
        <w:t>“</w:t>
      </w:r>
      <w:r w:rsidR="00924ABB">
        <w:t xml:space="preserve">[Article 6 TEU represents] </w:t>
      </w:r>
      <w:r w:rsidR="00924ABB">
        <w:rPr>
          <w:i/>
          <w:iCs/>
        </w:rPr>
        <w:t>a codification of the pre-existing position.  They encapsulate, to put it in another way, a political desire that the provisions they seek to enshrine and to protect should be more visible in their expression.  They do not represent a sea of change of any kind.”</w:t>
      </w:r>
    </w:p>
    <w:p w14:paraId="6178B1F8" w14:textId="0654708F" w:rsidR="00924ABB" w:rsidRPr="00924ABB" w:rsidRDefault="00924ABB" w:rsidP="00977608">
      <w:r>
        <w:t>As you would expect, CFR refers to a range of fundamental rights.  Key examples include Title I Dignity.  This not only refers to the right to life and freedom from torture but also prohibits forced labour.  Title II Freedoms refers to freedoms like expression; assembly; property and many more.  Other titles include Title III Equality; Title IV Solidarity; Title V Citizens Rights; Title VI Justice.</w:t>
      </w:r>
    </w:p>
    <w:p w14:paraId="0B2709B5" w14:textId="3F0891C9" w:rsidR="00924ABB" w:rsidRDefault="00924ABB" w:rsidP="00924ABB">
      <w:r w:rsidRPr="00924ABB">
        <w:t>While all of the rights from CFR may not be represented by the case law, the point is that they are the kind of rights that would be reflected by the CJ.</w:t>
      </w:r>
    </w:p>
    <w:p w14:paraId="46CDA196" w14:textId="3CB34E33" w:rsidR="00924ABB" w:rsidRDefault="00B803E9" w:rsidP="00924ABB">
      <w:r>
        <w:t xml:space="preserve">Whilst the rights from the CFR are not controversial; it is the application of CFR that could be.  </w:t>
      </w:r>
      <w:r>
        <w:rPr>
          <w:b/>
          <w:bCs/>
        </w:rPr>
        <w:t xml:space="preserve">Art 51 </w:t>
      </w:r>
      <w:r>
        <w:t>states that CFR applies to EU institutions; bodies and agencies.  In addition, it applies to MSs but only when “implementing” EU law.  Clearly, CFR does not apply to law that is purely domestic.</w:t>
      </w:r>
    </w:p>
    <w:p w14:paraId="45CBDDF5" w14:textId="1791ACA9" w:rsidR="00924ABB" w:rsidRDefault="00B803E9" w:rsidP="00924ABB">
      <w:r>
        <w:t xml:space="preserve">In terms of the impact on EU law, </w:t>
      </w:r>
      <w:r>
        <w:rPr>
          <w:b/>
          <w:bCs/>
        </w:rPr>
        <w:t xml:space="preserve">Art 51(2) </w:t>
      </w:r>
      <w:r>
        <w:t xml:space="preserve">of </w:t>
      </w:r>
      <w:r w:rsidRPr="00B803E9">
        <w:rPr>
          <w:b/>
          <w:bCs/>
        </w:rPr>
        <w:t>CFR</w:t>
      </w:r>
      <w:r>
        <w:t xml:space="preserve"> and </w:t>
      </w:r>
      <w:r>
        <w:rPr>
          <w:b/>
          <w:bCs/>
        </w:rPr>
        <w:t xml:space="preserve">Art 6 TEU </w:t>
      </w:r>
      <w:r>
        <w:t xml:space="preserve">indicate that </w:t>
      </w:r>
      <w:r w:rsidRPr="00B803E9">
        <w:rPr>
          <w:b/>
          <w:bCs/>
        </w:rPr>
        <w:t>CFR</w:t>
      </w:r>
      <w:r>
        <w:t xml:space="preserve"> does not extend the application of EU law or EU competencies from the Treaties.  However, there have been questions over the meaning of </w:t>
      </w:r>
      <w:r>
        <w:rPr>
          <w:b/>
          <w:bCs/>
        </w:rPr>
        <w:t xml:space="preserve">Art 51 CFR.  </w:t>
      </w:r>
      <w:r>
        <w:t xml:space="preserve">In particular the meaning of “implementing” has been a concern because that determines the extent to which </w:t>
      </w:r>
      <w:r>
        <w:rPr>
          <w:b/>
          <w:bCs/>
        </w:rPr>
        <w:t xml:space="preserve">CFR </w:t>
      </w:r>
      <w:r>
        <w:t xml:space="preserve">is binding on </w:t>
      </w:r>
      <w:proofErr w:type="spellStart"/>
      <w:r>
        <w:t>MSs.</w:t>
      </w:r>
      <w:proofErr w:type="spellEnd"/>
      <w:r>
        <w:t xml:space="preserve">  In C-411/10, </w:t>
      </w:r>
      <w:r>
        <w:rPr>
          <w:b/>
          <w:bCs/>
          <w:i/>
          <w:iCs/>
        </w:rPr>
        <w:t xml:space="preserve">NS v Secretary of State for the Home Department [2011] </w:t>
      </w:r>
      <w:r>
        <w:t xml:space="preserve">the CJ was faced with a regulation that gave MSs some discretion in the application of certain rules.  The CJ observed that </w:t>
      </w:r>
      <w:r w:rsidR="001F466F">
        <w:t xml:space="preserve">the exercise of discretion under an EU Regulation (as opposed to a binding obligation) fell within the term “implementing”.  It means the exercise of such discretion must be consistent with </w:t>
      </w:r>
      <w:r w:rsidR="001F466F">
        <w:rPr>
          <w:b/>
          <w:bCs/>
        </w:rPr>
        <w:t>CFR</w:t>
      </w:r>
      <w:r w:rsidR="001F466F">
        <w:t>.</w:t>
      </w:r>
    </w:p>
    <w:p w14:paraId="4A9989B0" w14:textId="364BFC9D" w:rsidR="00924ABB" w:rsidRDefault="001F466F" w:rsidP="00924ABB">
      <w:r>
        <w:t xml:space="preserve">Initial concern about </w:t>
      </w:r>
      <w:r>
        <w:rPr>
          <w:b/>
          <w:bCs/>
        </w:rPr>
        <w:t xml:space="preserve">CFR </w:t>
      </w:r>
      <w:r>
        <w:t xml:space="preserve">applying to domestic law resulted in </w:t>
      </w:r>
      <w:r>
        <w:rPr>
          <w:b/>
          <w:bCs/>
        </w:rPr>
        <w:t xml:space="preserve">Protocol 30 </w:t>
      </w:r>
      <w:r>
        <w:t xml:space="preserve">for Poland, the UK and later, the Czech Republic.  This is often referred to as an “opt out” for these MSs but the wording is not clear.  In </w:t>
      </w:r>
      <w:r>
        <w:rPr>
          <w:b/>
          <w:bCs/>
          <w:i/>
          <w:iCs/>
        </w:rPr>
        <w:t xml:space="preserve">NS [2011] </w:t>
      </w:r>
      <w:r>
        <w:t xml:space="preserve">the CJ stated that </w:t>
      </w:r>
      <w:r>
        <w:rPr>
          <w:b/>
          <w:bCs/>
        </w:rPr>
        <w:t xml:space="preserve">Protocol 30 </w:t>
      </w:r>
      <w:r>
        <w:t xml:space="preserve">was not an “opt-out” of </w:t>
      </w:r>
      <w:r>
        <w:rPr>
          <w:b/>
          <w:bCs/>
        </w:rPr>
        <w:t xml:space="preserve">CFR.  </w:t>
      </w:r>
      <w:r>
        <w:t xml:space="preserve">Instead it simply confirmed the substance of </w:t>
      </w:r>
      <w:r>
        <w:rPr>
          <w:b/>
          <w:bCs/>
        </w:rPr>
        <w:t xml:space="preserve">Art 51.  </w:t>
      </w:r>
      <w:r>
        <w:t xml:space="preserve">The protocol also refers to the solidarity title (social rights) and indicates that it does not give justiciable rights in the UK or Poland.  This part is actually a real “opt-out” as long as these rights are not part of the general principles of EU law already.  Another question is whether </w:t>
      </w:r>
      <w:r>
        <w:rPr>
          <w:b/>
          <w:bCs/>
        </w:rPr>
        <w:t xml:space="preserve">CFR </w:t>
      </w:r>
      <w:r>
        <w:t xml:space="preserve">will result in horizontal direct effect.  The A-G in </w:t>
      </w:r>
      <w:r>
        <w:rPr>
          <w:b/>
          <w:bCs/>
          <w:i/>
          <w:iCs/>
        </w:rPr>
        <w:t xml:space="preserve">NS [2011] </w:t>
      </w:r>
      <w:r>
        <w:t xml:space="preserve">believed that </w:t>
      </w:r>
      <w:r>
        <w:rPr>
          <w:b/>
          <w:bCs/>
        </w:rPr>
        <w:t xml:space="preserve">CFR </w:t>
      </w:r>
      <w:r>
        <w:t>did not have such application.</w:t>
      </w:r>
    </w:p>
    <w:p w14:paraId="1C26E8D5" w14:textId="18184454" w:rsidR="00924ABB" w:rsidRDefault="001F466F" w:rsidP="00924ABB">
      <w:pPr>
        <w:rPr>
          <w:b/>
          <w:bCs/>
        </w:rPr>
      </w:pPr>
      <w:r>
        <w:rPr>
          <w:b/>
          <w:bCs/>
        </w:rPr>
        <w:t>The case law of the Court of Justice</w:t>
      </w:r>
    </w:p>
    <w:p w14:paraId="76021B5C" w14:textId="4FDC4847" w:rsidR="003D4070" w:rsidRDefault="003D4070" w:rsidP="00924ABB">
      <w:r>
        <w:t xml:space="preserve">Interpretation of EU law by the CJ is of major importance in the development of EU law.  While the CJ’s decisions are authoritative, there is no system of binding precedent similar to that in the English and Welsh courts.  One reason is that many decisions of the CJ do not apply EU law but only interpret it, leaving its application to a national court.  </w:t>
      </w:r>
      <w:proofErr w:type="gramStart"/>
      <w:r>
        <w:t>Also</w:t>
      </w:r>
      <w:proofErr w:type="gramEnd"/>
      <w:r>
        <w:t xml:space="preserve"> the CJ often paints on a broad canvas, leaving it to later decisions to add refinements.</w:t>
      </w:r>
    </w:p>
    <w:p w14:paraId="50CD9DEA" w14:textId="6D750FF1" w:rsidR="003D4070" w:rsidRPr="003D4070" w:rsidRDefault="003D4070" w:rsidP="00924ABB">
      <w:r>
        <w:t xml:space="preserve">Opinions of the Advocates-General are authoritative in the same way.  They are particularly significant where they explain in greater detail the reasoning behind the </w:t>
      </w:r>
      <w:proofErr w:type="gramStart"/>
      <w:r>
        <w:t>often concise</w:t>
      </w:r>
      <w:proofErr w:type="gramEnd"/>
      <w:r>
        <w:t xml:space="preserve"> judgment of the court or where they provide the only judicial pronouncement on some point of EU law.  This will arise where, for example, the CJ has decided the case on a narrow ground and the A-G’s opinion considers wider arguments canvassed in the case.</w:t>
      </w:r>
    </w:p>
    <w:p w14:paraId="37CF7DD0" w14:textId="77777777" w:rsidR="00924ABB" w:rsidRPr="00924ABB" w:rsidRDefault="00924ABB" w:rsidP="00924ABB">
      <w:pPr>
        <w:rPr>
          <w:b/>
          <w:bCs/>
        </w:rPr>
      </w:pPr>
      <w:bookmarkStart w:id="0" w:name="_GoBack"/>
      <w:bookmarkEnd w:id="0"/>
    </w:p>
    <w:p w14:paraId="13866BA2" w14:textId="77777777" w:rsidR="00977608" w:rsidRPr="00123B70" w:rsidRDefault="00977608" w:rsidP="007F23C4"/>
    <w:p w14:paraId="26DBD2BC" w14:textId="77777777" w:rsidR="0069628E" w:rsidRPr="00123B70" w:rsidRDefault="0069628E" w:rsidP="007F23C4"/>
    <w:p w14:paraId="5A304891" w14:textId="77777777" w:rsidR="007F23C4" w:rsidRPr="00123B70" w:rsidRDefault="007F23C4" w:rsidP="007F23C4"/>
    <w:p w14:paraId="095CCD74" w14:textId="77777777" w:rsidR="007F23C4" w:rsidRPr="00123B70" w:rsidRDefault="007F23C4" w:rsidP="007F23C4"/>
    <w:p w14:paraId="48428866" w14:textId="77777777" w:rsidR="007F23C4" w:rsidRPr="00123B70" w:rsidRDefault="007F23C4" w:rsidP="007F23C4"/>
    <w:p w14:paraId="3B777FCE" w14:textId="77777777" w:rsidR="007F23C4" w:rsidRPr="00123B70" w:rsidRDefault="007F23C4" w:rsidP="007F23C4">
      <w:pPr>
        <w:rPr>
          <w:b/>
          <w:bCs/>
        </w:rPr>
      </w:pPr>
    </w:p>
    <w:p w14:paraId="726ED800" w14:textId="77777777" w:rsidR="004B29E3" w:rsidRPr="00123B70" w:rsidRDefault="004B29E3">
      <w:pPr>
        <w:rPr>
          <w:b/>
          <w:bCs/>
        </w:rPr>
      </w:pPr>
    </w:p>
    <w:sectPr w:rsidR="004B29E3" w:rsidRPr="00123B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D67B9"/>
    <w:multiLevelType w:val="hybridMultilevel"/>
    <w:tmpl w:val="E7229000"/>
    <w:lvl w:ilvl="0" w:tplc="F8381008">
      <w:start w:val="1"/>
      <w:numFmt w:val="bullet"/>
      <w:lvlText w:val=" "/>
      <w:lvlJc w:val="left"/>
      <w:pPr>
        <w:tabs>
          <w:tab w:val="num" w:pos="720"/>
        </w:tabs>
        <w:ind w:left="720" w:hanging="360"/>
      </w:pPr>
      <w:rPr>
        <w:rFonts w:ascii="Tw Cen MT" w:hAnsi="Tw Cen MT" w:hint="default"/>
      </w:rPr>
    </w:lvl>
    <w:lvl w:ilvl="1" w:tplc="440E2CB8" w:tentative="1">
      <w:start w:val="1"/>
      <w:numFmt w:val="bullet"/>
      <w:lvlText w:val=" "/>
      <w:lvlJc w:val="left"/>
      <w:pPr>
        <w:tabs>
          <w:tab w:val="num" w:pos="1440"/>
        </w:tabs>
        <w:ind w:left="1440" w:hanging="360"/>
      </w:pPr>
      <w:rPr>
        <w:rFonts w:ascii="Tw Cen MT" w:hAnsi="Tw Cen MT" w:hint="default"/>
      </w:rPr>
    </w:lvl>
    <w:lvl w:ilvl="2" w:tplc="1AF47EB2" w:tentative="1">
      <w:start w:val="1"/>
      <w:numFmt w:val="bullet"/>
      <w:lvlText w:val=" "/>
      <w:lvlJc w:val="left"/>
      <w:pPr>
        <w:tabs>
          <w:tab w:val="num" w:pos="2160"/>
        </w:tabs>
        <w:ind w:left="2160" w:hanging="360"/>
      </w:pPr>
      <w:rPr>
        <w:rFonts w:ascii="Tw Cen MT" w:hAnsi="Tw Cen MT" w:hint="default"/>
      </w:rPr>
    </w:lvl>
    <w:lvl w:ilvl="3" w:tplc="0D0495A4" w:tentative="1">
      <w:start w:val="1"/>
      <w:numFmt w:val="bullet"/>
      <w:lvlText w:val=" "/>
      <w:lvlJc w:val="left"/>
      <w:pPr>
        <w:tabs>
          <w:tab w:val="num" w:pos="2880"/>
        </w:tabs>
        <w:ind w:left="2880" w:hanging="360"/>
      </w:pPr>
      <w:rPr>
        <w:rFonts w:ascii="Tw Cen MT" w:hAnsi="Tw Cen MT" w:hint="default"/>
      </w:rPr>
    </w:lvl>
    <w:lvl w:ilvl="4" w:tplc="2BA0E13A" w:tentative="1">
      <w:start w:val="1"/>
      <w:numFmt w:val="bullet"/>
      <w:lvlText w:val=" "/>
      <w:lvlJc w:val="left"/>
      <w:pPr>
        <w:tabs>
          <w:tab w:val="num" w:pos="3600"/>
        </w:tabs>
        <w:ind w:left="3600" w:hanging="360"/>
      </w:pPr>
      <w:rPr>
        <w:rFonts w:ascii="Tw Cen MT" w:hAnsi="Tw Cen MT" w:hint="default"/>
      </w:rPr>
    </w:lvl>
    <w:lvl w:ilvl="5" w:tplc="04BE52DC" w:tentative="1">
      <w:start w:val="1"/>
      <w:numFmt w:val="bullet"/>
      <w:lvlText w:val=" "/>
      <w:lvlJc w:val="left"/>
      <w:pPr>
        <w:tabs>
          <w:tab w:val="num" w:pos="4320"/>
        </w:tabs>
        <w:ind w:left="4320" w:hanging="360"/>
      </w:pPr>
      <w:rPr>
        <w:rFonts w:ascii="Tw Cen MT" w:hAnsi="Tw Cen MT" w:hint="default"/>
      </w:rPr>
    </w:lvl>
    <w:lvl w:ilvl="6" w:tplc="1F3EE23E" w:tentative="1">
      <w:start w:val="1"/>
      <w:numFmt w:val="bullet"/>
      <w:lvlText w:val=" "/>
      <w:lvlJc w:val="left"/>
      <w:pPr>
        <w:tabs>
          <w:tab w:val="num" w:pos="5040"/>
        </w:tabs>
        <w:ind w:left="5040" w:hanging="360"/>
      </w:pPr>
      <w:rPr>
        <w:rFonts w:ascii="Tw Cen MT" w:hAnsi="Tw Cen MT" w:hint="default"/>
      </w:rPr>
    </w:lvl>
    <w:lvl w:ilvl="7" w:tplc="18A00CE0" w:tentative="1">
      <w:start w:val="1"/>
      <w:numFmt w:val="bullet"/>
      <w:lvlText w:val=" "/>
      <w:lvlJc w:val="left"/>
      <w:pPr>
        <w:tabs>
          <w:tab w:val="num" w:pos="5760"/>
        </w:tabs>
        <w:ind w:left="5760" w:hanging="360"/>
      </w:pPr>
      <w:rPr>
        <w:rFonts w:ascii="Tw Cen MT" w:hAnsi="Tw Cen MT" w:hint="default"/>
      </w:rPr>
    </w:lvl>
    <w:lvl w:ilvl="8" w:tplc="6B4CBA28"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0DA774F5"/>
    <w:multiLevelType w:val="hybridMultilevel"/>
    <w:tmpl w:val="7C926E22"/>
    <w:lvl w:ilvl="0" w:tplc="81924D0C">
      <w:start w:val="1"/>
      <w:numFmt w:val="bullet"/>
      <w:lvlText w:val=" "/>
      <w:lvlJc w:val="left"/>
      <w:pPr>
        <w:tabs>
          <w:tab w:val="num" w:pos="720"/>
        </w:tabs>
        <w:ind w:left="720" w:hanging="360"/>
      </w:pPr>
      <w:rPr>
        <w:rFonts w:ascii="Tw Cen MT" w:hAnsi="Tw Cen MT" w:hint="default"/>
      </w:rPr>
    </w:lvl>
    <w:lvl w:ilvl="1" w:tplc="23DAB540" w:tentative="1">
      <w:start w:val="1"/>
      <w:numFmt w:val="bullet"/>
      <w:lvlText w:val=" "/>
      <w:lvlJc w:val="left"/>
      <w:pPr>
        <w:tabs>
          <w:tab w:val="num" w:pos="1440"/>
        </w:tabs>
        <w:ind w:left="1440" w:hanging="360"/>
      </w:pPr>
      <w:rPr>
        <w:rFonts w:ascii="Tw Cen MT" w:hAnsi="Tw Cen MT" w:hint="default"/>
      </w:rPr>
    </w:lvl>
    <w:lvl w:ilvl="2" w:tplc="100E3E5E" w:tentative="1">
      <w:start w:val="1"/>
      <w:numFmt w:val="bullet"/>
      <w:lvlText w:val=" "/>
      <w:lvlJc w:val="left"/>
      <w:pPr>
        <w:tabs>
          <w:tab w:val="num" w:pos="2160"/>
        </w:tabs>
        <w:ind w:left="2160" w:hanging="360"/>
      </w:pPr>
      <w:rPr>
        <w:rFonts w:ascii="Tw Cen MT" w:hAnsi="Tw Cen MT" w:hint="default"/>
      </w:rPr>
    </w:lvl>
    <w:lvl w:ilvl="3" w:tplc="108E884A" w:tentative="1">
      <w:start w:val="1"/>
      <w:numFmt w:val="bullet"/>
      <w:lvlText w:val=" "/>
      <w:lvlJc w:val="left"/>
      <w:pPr>
        <w:tabs>
          <w:tab w:val="num" w:pos="2880"/>
        </w:tabs>
        <w:ind w:left="2880" w:hanging="360"/>
      </w:pPr>
      <w:rPr>
        <w:rFonts w:ascii="Tw Cen MT" w:hAnsi="Tw Cen MT" w:hint="default"/>
      </w:rPr>
    </w:lvl>
    <w:lvl w:ilvl="4" w:tplc="09E62D18" w:tentative="1">
      <w:start w:val="1"/>
      <w:numFmt w:val="bullet"/>
      <w:lvlText w:val=" "/>
      <w:lvlJc w:val="left"/>
      <w:pPr>
        <w:tabs>
          <w:tab w:val="num" w:pos="3600"/>
        </w:tabs>
        <w:ind w:left="3600" w:hanging="360"/>
      </w:pPr>
      <w:rPr>
        <w:rFonts w:ascii="Tw Cen MT" w:hAnsi="Tw Cen MT" w:hint="default"/>
      </w:rPr>
    </w:lvl>
    <w:lvl w:ilvl="5" w:tplc="67802E5E" w:tentative="1">
      <w:start w:val="1"/>
      <w:numFmt w:val="bullet"/>
      <w:lvlText w:val=" "/>
      <w:lvlJc w:val="left"/>
      <w:pPr>
        <w:tabs>
          <w:tab w:val="num" w:pos="4320"/>
        </w:tabs>
        <w:ind w:left="4320" w:hanging="360"/>
      </w:pPr>
      <w:rPr>
        <w:rFonts w:ascii="Tw Cen MT" w:hAnsi="Tw Cen MT" w:hint="default"/>
      </w:rPr>
    </w:lvl>
    <w:lvl w:ilvl="6" w:tplc="505C4B8E" w:tentative="1">
      <w:start w:val="1"/>
      <w:numFmt w:val="bullet"/>
      <w:lvlText w:val=" "/>
      <w:lvlJc w:val="left"/>
      <w:pPr>
        <w:tabs>
          <w:tab w:val="num" w:pos="5040"/>
        </w:tabs>
        <w:ind w:left="5040" w:hanging="360"/>
      </w:pPr>
      <w:rPr>
        <w:rFonts w:ascii="Tw Cen MT" w:hAnsi="Tw Cen MT" w:hint="default"/>
      </w:rPr>
    </w:lvl>
    <w:lvl w:ilvl="7" w:tplc="ED7E7B0C" w:tentative="1">
      <w:start w:val="1"/>
      <w:numFmt w:val="bullet"/>
      <w:lvlText w:val=" "/>
      <w:lvlJc w:val="left"/>
      <w:pPr>
        <w:tabs>
          <w:tab w:val="num" w:pos="5760"/>
        </w:tabs>
        <w:ind w:left="5760" w:hanging="360"/>
      </w:pPr>
      <w:rPr>
        <w:rFonts w:ascii="Tw Cen MT" w:hAnsi="Tw Cen MT" w:hint="default"/>
      </w:rPr>
    </w:lvl>
    <w:lvl w:ilvl="8" w:tplc="13644470" w:tentative="1">
      <w:start w:val="1"/>
      <w:numFmt w:val="bullet"/>
      <w:lvlText w:val=" "/>
      <w:lvlJc w:val="left"/>
      <w:pPr>
        <w:tabs>
          <w:tab w:val="num" w:pos="6480"/>
        </w:tabs>
        <w:ind w:left="6480" w:hanging="360"/>
      </w:pPr>
      <w:rPr>
        <w:rFonts w:ascii="Tw Cen MT" w:hAnsi="Tw Cen MT" w:hint="default"/>
      </w:rPr>
    </w:lvl>
  </w:abstractNum>
  <w:abstractNum w:abstractNumId="2" w15:restartNumberingAfterBreak="0">
    <w:nsid w:val="208010A2"/>
    <w:multiLevelType w:val="hybridMultilevel"/>
    <w:tmpl w:val="75D025C2"/>
    <w:lvl w:ilvl="0" w:tplc="E47ADC80">
      <w:start w:val="1"/>
      <w:numFmt w:val="bullet"/>
      <w:lvlText w:val=" "/>
      <w:lvlJc w:val="left"/>
      <w:pPr>
        <w:tabs>
          <w:tab w:val="num" w:pos="720"/>
        </w:tabs>
        <w:ind w:left="720" w:hanging="360"/>
      </w:pPr>
      <w:rPr>
        <w:rFonts w:ascii="Tw Cen MT" w:hAnsi="Tw Cen MT" w:hint="default"/>
      </w:rPr>
    </w:lvl>
    <w:lvl w:ilvl="1" w:tplc="D25A5918" w:tentative="1">
      <w:start w:val="1"/>
      <w:numFmt w:val="bullet"/>
      <w:lvlText w:val=" "/>
      <w:lvlJc w:val="left"/>
      <w:pPr>
        <w:tabs>
          <w:tab w:val="num" w:pos="1440"/>
        </w:tabs>
        <w:ind w:left="1440" w:hanging="360"/>
      </w:pPr>
      <w:rPr>
        <w:rFonts w:ascii="Tw Cen MT" w:hAnsi="Tw Cen MT" w:hint="default"/>
      </w:rPr>
    </w:lvl>
    <w:lvl w:ilvl="2" w:tplc="46DA8264" w:tentative="1">
      <w:start w:val="1"/>
      <w:numFmt w:val="bullet"/>
      <w:lvlText w:val=" "/>
      <w:lvlJc w:val="left"/>
      <w:pPr>
        <w:tabs>
          <w:tab w:val="num" w:pos="2160"/>
        </w:tabs>
        <w:ind w:left="2160" w:hanging="360"/>
      </w:pPr>
      <w:rPr>
        <w:rFonts w:ascii="Tw Cen MT" w:hAnsi="Tw Cen MT" w:hint="default"/>
      </w:rPr>
    </w:lvl>
    <w:lvl w:ilvl="3" w:tplc="DD9C5740" w:tentative="1">
      <w:start w:val="1"/>
      <w:numFmt w:val="bullet"/>
      <w:lvlText w:val=" "/>
      <w:lvlJc w:val="left"/>
      <w:pPr>
        <w:tabs>
          <w:tab w:val="num" w:pos="2880"/>
        </w:tabs>
        <w:ind w:left="2880" w:hanging="360"/>
      </w:pPr>
      <w:rPr>
        <w:rFonts w:ascii="Tw Cen MT" w:hAnsi="Tw Cen MT" w:hint="default"/>
      </w:rPr>
    </w:lvl>
    <w:lvl w:ilvl="4" w:tplc="9300FD8C" w:tentative="1">
      <w:start w:val="1"/>
      <w:numFmt w:val="bullet"/>
      <w:lvlText w:val=" "/>
      <w:lvlJc w:val="left"/>
      <w:pPr>
        <w:tabs>
          <w:tab w:val="num" w:pos="3600"/>
        </w:tabs>
        <w:ind w:left="3600" w:hanging="360"/>
      </w:pPr>
      <w:rPr>
        <w:rFonts w:ascii="Tw Cen MT" w:hAnsi="Tw Cen MT" w:hint="default"/>
      </w:rPr>
    </w:lvl>
    <w:lvl w:ilvl="5" w:tplc="B2389CB4" w:tentative="1">
      <w:start w:val="1"/>
      <w:numFmt w:val="bullet"/>
      <w:lvlText w:val=" "/>
      <w:lvlJc w:val="left"/>
      <w:pPr>
        <w:tabs>
          <w:tab w:val="num" w:pos="4320"/>
        </w:tabs>
        <w:ind w:left="4320" w:hanging="360"/>
      </w:pPr>
      <w:rPr>
        <w:rFonts w:ascii="Tw Cen MT" w:hAnsi="Tw Cen MT" w:hint="default"/>
      </w:rPr>
    </w:lvl>
    <w:lvl w:ilvl="6" w:tplc="37EE258A" w:tentative="1">
      <w:start w:val="1"/>
      <w:numFmt w:val="bullet"/>
      <w:lvlText w:val=" "/>
      <w:lvlJc w:val="left"/>
      <w:pPr>
        <w:tabs>
          <w:tab w:val="num" w:pos="5040"/>
        </w:tabs>
        <w:ind w:left="5040" w:hanging="360"/>
      </w:pPr>
      <w:rPr>
        <w:rFonts w:ascii="Tw Cen MT" w:hAnsi="Tw Cen MT" w:hint="default"/>
      </w:rPr>
    </w:lvl>
    <w:lvl w:ilvl="7" w:tplc="830A9074" w:tentative="1">
      <w:start w:val="1"/>
      <w:numFmt w:val="bullet"/>
      <w:lvlText w:val=" "/>
      <w:lvlJc w:val="left"/>
      <w:pPr>
        <w:tabs>
          <w:tab w:val="num" w:pos="5760"/>
        </w:tabs>
        <w:ind w:left="5760" w:hanging="360"/>
      </w:pPr>
      <w:rPr>
        <w:rFonts w:ascii="Tw Cen MT" w:hAnsi="Tw Cen MT" w:hint="default"/>
      </w:rPr>
    </w:lvl>
    <w:lvl w:ilvl="8" w:tplc="316C5BB4" w:tentative="1">
      <w:start w:val="1"/>
      <w:numFmt w:val="bullet"/>
      <w:lvlText w:val=" "/>
      <w:lvlJc w:val="left"/>
      <w:pPr>
        <w:tabs>
          <w:tab w:val="num" w:pos="6480"/>
        </w:tabs>
        <w:ind w:left="6480" w:hanging="360"/>
      </w:pPr>
      <w:rPr>
        <w:rFonts w:ascii="Tw Cen MT" w:hAnsi="Tw Cen MT" w:hint="default"/>
      </w:rPr>
    </w:lvl>
  </w:abstractNum>
  <w:abstractNum w:abstractNumId="3" w15:restartNumberingAfterBreak="0">
    <w:nsid w:val="237611B6"/>
    <w:multiLevelType w:val="hybridMultilevel"/>
    <w:tmpl w:val="275A1270"/>
    <w:lvl w:ilvl="0" w:tplc="9DE62A3A">
      <w:start w:val="1"/>
      <w:numFmt w:val="bullet"/>
      <w:lvlText w:val=" "/>
      <w:lvlJc w:val="left"/>
      <w:pPr>
        <w:tabs>
          <w:tab w:val="num" w:pos="720"/>
        </w:tabs>
        <w:ind w:left="720" w:hanging="360"/>
      </w:pPr>
      <w:rPr>
        <w:rFonts w:ascii="Tw Cen MT" w:hAnsi="Tw Cen MT" w:hint="default"/>
      </w:rPr>
    </w:lvl>
    <w:lvl w:ilvl="1" w:tplc="59045F12" w:tentative="1">
      <w:start w:val="1"/>
      <w:numFmt w:val="bullet"/>
      <w:lvlText w:val=" "/>
      <w:lvlJc w:val="left"/>
      <w:pPr>
        <w:tabs>
          <w:tab w:val="num" w:pos="1440"/>
        </w:tabs>
        <w:ind w:left="1440" w:hanging="360"/>
      </w:pPr>
      <w:rPr>
        <w:rFonts w:ascii="Tw Cen MT" w:hAnsi="Tw Cen MT" w:hint="default"/>
      </w:rPr>
    </w:lvl>
    <w:lvl w:ilvl="2" w:tplc="CF742E04" w:tentative="1">
      <w:start w:val="1"/>
      <w:numFmt w:val="bullet"/>
      <w:lvlText w:val=" "/>
      <w:lvlJc w:val="left"/>
      <w:pPr>
        <w:tabs>
          <w:tab w:val="num" w:pos="2160"/>
        </w:tabs>
        <w:ind w:left="2160" w:hanging="360"/>
      </w:pPr>
      <w:rPr>
        <w:rFonts w:ascii="Tw Cen MT" w:hAnsi="Tw Cen MT" w:hint="default"/>
      </w:rPr>
    </w:lvl>
    <w:lvl w:ilvl="3" w:tplc="C4D22036" w:tentative="1">
      <w:start w:val="1"/>
      <w:numFmt w:val="bullet"/>
      <w:lvlText w:val=" "/>
      <w:lvlJc w:val="left"/>
      <w:pPr>
        <w:tabs>
          <w:tab w:val="num" w:pos="2880"/>
        </w:tabs>
        <w:ind w:left="2880" w:hanging="360"/>
      </w:pPr>
      <w:rPr>
        <w:rFonts w:ascii="Tw Cen MT" w:hAnsi="Tw Cen MT" w:hint="default"/>
      </w:rPr>
    </w:lvl>
    <w:lvl w:ilvl="4" w:tplc="1CAC6C24" w:tentative="1">
      <w:start w:val="1"/>
      <w:numFmt w:val="bullet"/>
      <w:lvlText w:val=" "/>
      <w:lvlJc w:val="left"/>
      <w:pPr>
        <w:tabs>
          <w:tab w:val="num" w:pos="3600"/>
        </w:tabs>
        <w:ind w:left="3600" w:hanging="360"/>
      </w:pPr>
      <w:rPr>
        <w:rFonts w:ascii="Tw Cen MT" w:hAnsi="Tw Cen MT" w:hint="default"/>
      </w:rPr>
    </w:lvl>
    <w:lvl w:ilvl="5" w:tplc="2C6EF23A" w:tentative="1">
      <w:start w:val="1"/>
      <w:numFmt w:val="bullet"/>
      <w:lvlText w:val=" "/>
      <w:lvlJc w:val="left"/>
      <w:pPr>
        <w:tabs>
          <w:tab w:val="num" w:pos="4320"/>
        </w:tabs>
        <w:ind w:left="4320" w:hanging="360"/>
      </w:pPr>
      <w:rPr>
        <w:rFonts w:ascii="Tw Cen MT" w:hAnsi="Tw Cen MT" w:hint="default"/>
      </w:rPr>
    </w:lvl>
    <w:lvl w:ilvl="6" w:tplc="1F508346" w:tentative="1">
      <w:start w:val="1"/>
      <w:numFmt w:val="bullet"/>
      <w:lvlText w:val=" "/>
      <w:lvlJc w:val="left"/>
      <w:pPr>
        <w:tabs>
          <w:tab w:val="num" w:pos="5040"/>
        </w:tabs>
        <w:ind w:left="5040" w:hanging="360"/>
      </w:pPr>
      <w:rPr>
        <w:rFonts w:ascii="Tw Cen MT" w:hAnsi="Tw Cen MT" w:hint="default"/>
      </w:rPr>
    </w:lvl>
    <w:lvl w:ilvl="7" w:tplc="7D660E64" w:tentative="1">
      <w:start w:val="1"/>
      <w:numFmt w:val="bullet"/>
      <w:lvlText w:val=" "/>
      <w:lvlJc w:val="left"/>
      <w:pPr>
        <w:tabs>
          <w:tab w:val="num" w:pos="5760"/>
        </w:tabs>
        <w:ind w:left="5760" w:hanging="360"/>
      </w:pPr>
      <w:rPr>
        <w:rFonts w:ascii="Tw Cen MT" w:hAnsi="Tw Cen MT" w:hint="default"/>
      </w:rPr>
    </w:lvl>
    <w:lvl w:ilvl="8" w:tplc="7BFE6336" w:tentative="1">
      <w:start w:val="1"/>
      <w:numFmt w:val="bullet"/>
      <w:lvlText w:val=" "/>
      <w:lvlJc w:val="left"/>
      <w:pPr>
        <w:tabs>
          <w:tab w:val="num" w:pos="6480"/>
        </w:tabs>
        <w:ind w:left="6480" w:hanging="360"/>
      </w:pPr>
      <w:rPr>
        <w:rFonts w:ascii="Tw Cen MT" w:hAnsi="Tw Cen MT" w:hint="default"/>
      </w:rPr>
    </w:lvl>
  </w:abstractNum>
  <w:abstractNum w:abstractNumId="4" w15:restartNumberingAfterBreak="0">
    <w:nsid w:val="3DCE557B"/>
    <w:multiLevelType w:val="hybridMultilevel"/>
    <w:tmpl w:val="2ADEEACE"/>
    <w:lvl w:ilvl="0" w:tplc="7E44903A">
      <w:start w:val="1"/>
      <w:numFmt w:val="bullet"/>
      <w:lvlText w:val=" "/>
      <w:lvlJc w:val="left"/>
      <w:pPr>
        <w:tabs>
          <w:tab w:val="num" w:pos="720"/>
        </w:tabs>
        <w:ind w:left="720" w:hanging="360"/>
      </w:pPr>
      <w:rPr>
        <w:rFonts w:ascii="Tw Cen MT" w:hAnsi="Tw Cen MT" w:hint="default"/>
      </w:rPr>
    </w:lvl>
    <w:lvl w:ilvl="1" w:tplc="6FBAA7E6" w:tentative="1">
      <w:start w:val="1"/>
      <w:numFmt w:val="bullet"/>
      <w:lvlText w:val=" "/>
      <w:lvlJc w:val="left"/>
      <w:pPr>
        <w:tabs>
          <w:tab w:val="num" w:pos="1440"/>
        </w:tabs>
        <w:ind w:left="1440" w:hanging="360"/>
      </w:pPr>
      <w:rPr>
        <w:rFonts w:ascii="Tw Cen MT" w:hAnsi="Tw Cen MT" w:hint="default"/>
      </w:rPr>
    </w:lvl>
    <w:lvl w:ilvl="2" w:tplc="98BE2F52" w:tentative="1">
      <w:start w:val="1"/>
      <w:numFmt w:val="bullet"/>
      <w:lvlText w:val=" "/>
      <w:lvlJc w:val="left"/>
      <w:pPr>
        <w:tabs>
          <w:tab w:val="num" w:pos="2160"/>
        </w:tabs>
        <w:ind w:left="2160" w:hanging="360"/>
      </w:pPr>
      <w:rPr>
        <w:rFonts w:ascii="Tw Cen MT" w:hAnsi="Tw Cen MT" w:hint="default"/>
      </w:rPr>
    </w:lvl>
    <w:lvl w:ilvl="3" w:tplc="BB1A46CE" w:tentative="1">
      <w:start w:val="1"/>
      <w:numFmt w:val="bullet"/>
      <w:lvlText w:val=" "/>
      <w:lvlJc w:val="left"/>
      <w:pPr>
        <w:tabs>
          <w:tab w:val="num" w:pos="2880"/>
        </w:tabs>
        <w:ind w:left="2880" w:hanging="360"/>
      </w:pPr>
      <w:rPr>
        <w:rFonts w:ascii="Tw Cen MT" w:hAnsi="Tw Cen MT" w:hint="default"/>
      </w:rPr>
    </w:lvl>
    <w:lvl w:ilvl="4" w:tplc="DDCA4838" w:tentative="1">
      <w:start w:val="1"/>
      <w:numFmt w:val="bullet"/>
      <w:lvlText w:val=" "/>
      <w:lvlJc w:val="left"/>
      <w:pPr>
        <w:tabs>
          <w:tab w:val="num" w:pos="3600"/>
        </w:tabs>
        <w:ind w:left="3600" w:hanging="360"/>
      </w:pPr>
      <w:rPr>
        <w:rFonts w:ascii="Tw Cen MT" w:hAnsi="Tw Cen MT" w:hint="default"/>
      </w:rPr>
    </w:lvl>
    <w:lvl w:ilvl="5" w:tplc="E3085E5C" w:tentative="1">
      <w:start w:val="1"/>
      <w:numFmt w:val="bullet"/>
      <w:lvlText w:val=" "/>
      <w:lvlJc w:val="left"/>
      <w:pPr>
        <w:tabs>
          <w:tab w:val="num" w:pos="4320"/>
        </w:tabs>
        <w:ind w:left="4320" w:hanging="360"/>
      </w:pPr>
      <w:rPr>
        <w:rFonts w:ascii="Tw Cen MT" w:hAnsi="Tw Cen MT" w:hint="default"/>
      </w:rPr>
    </w:lvl>
    <w:lvl w:ilvl="6" w:tplc="56EE4CF4" w:tentative="1">
      <w:start w:val="1"/>
      <w:numFmt w:val="bullet"/>
      <w:lvlText w:val=" "/>
      <w:lvlJc w:val="left"/>
      <w:pPr>
        <w:tabs>
          <w:tab w:val="num" w:pos="5040"/>
        </w:tabs>
        <w:ind w:left="5040" w:hanging="360"/>
      </w:pPr>
      <w:rPr>
        <w:rFonts w:ascii="Tw Cen MT" w:hAnsi="Tw Cen MT" w:hint="default"/>
      </w:rPr>
    </w:lvl>
    <w:lvl w:ilvl="7" w:tplc="A5DA3392" w:tentative="1">
      <w:start w:val="1"/>
      <w:numFmt w:val="bullet"/>
      <w:lvlText w:val=" "/>
      <w:lvlJc w:val="left"/>
      <w:pPr>
        <w:tabs>
          <w:tab w:val="num" w:pos="5760"/>
        </w:tabs>
        <w:ind w:left="5760" w:hanging="360"/>
      </w:pPr>
      <w:rPr>
        <w:rFonts w:ascii="Tw Cen MT" w:hAnsi="Tw Cen MT" w:hint="default"/>
      </w:rPr>
    </w:lvl>
    <w:lvl w:ilvl="8" w:tplc="BAE463F6" w:tentative="1">
      <w:start w:val="1"/>
      <w:numFmt w:val="bullet"/>
      <w:lvlText w:val=" "/>
      <w:lvlJc w:val="left"/>
      <w:pPr>
        <w:tabs>
          <w:tab w:val="num" w:pos="6480"/>
        </w:tabs>
        <w:ind w:left="6480" w:hanging="360"/>
      </w:pPr>
      <w:rPr>
        <w:rFonts w:ascii="Tw Cen MT" w:hAnsi="Tw Cen MT" w:hint="default"/>
      </w:rPr>
    </w:lvl>
  </w:abstractNum>
  <w:abstractNum w:abstractNumId="5" w15:restartNumberingAfterBreak="0">
    <w:nsid w:val="56D024BF"/>
    <w:multiLevelType w:val="hybridMultilevel"/>
    <w:tmpl w:val="C4600B40"/>
    <w:lvl w:ilvl="0" w:tplc="0C009D68">
      <w:start w:val="1"/>
      <w:numFmt w:val="bullet"/>
      <w:lvlText w:val=" "/>
      <w:lvlJc w:val="left"/>
      <w:pPr>
        <w:tabs>
          <w:tab w:val="num" w:pos="720"/>
        </w:tabs>
        <w:ind w:left="720" w:hanging="360"/>
      </w:pPr>
      <w:rPr>
        <w:rFonts w:ascii="Tw Cen MT" w:hAnsi="Tw Cen MT" w:hint="default"/>
      </w:rPr>
    </w:lvl>
    <w:lvl w:ilvl="1" w:tplc="08A4DC80" w:tentative="1">
      <w:start w:val="1"/>
      <w:numFmt w:val="bullet"/>
      <w:lvlText w:val=" "/>
      <w:lvlJc w:val="left"/>
      <w:pPr>
        <w:tabs>
          <w:tab w:val="num" w:pos="1440"/>
        </w:tabs>
        <w:ind w:left="1440" w:hanging="360"/>
      </w:pPr>
      <w:rPr>
        <w:rFonts w:ascii="Tw Cen MT" w:hAnsi="Tw Cen MT" w:hint="default"/>
      </w:rPr>
    </w:lvl>
    <w:lvl w:ilvl="2" w:tplc="D1867D62" w:tentative="1">
      <w:start w:val="1"/>
      <w:numFmt w:val="bullet"/>
      <w:lvlText w:val=" "/>
      <w:lvlJc w:val="left"/>
      <w:pPr>
        <w:tabs>
          <w:tab w:val="num" w:pos="2160"/>
        </w:tabs>
        <w:ind w:left="2160" w:hanging="360"/>
      </w:pPr>
      <w:rPr>
        <w:rFonts w:ascii="Tw Cen MT" w:hAnsi="Tw Cen MT" w:hint="default"/>
      </w:rPr>
    </w:lvl>
    <w:lvl w:ilvl="3" w:tplc="A8AAED50" w:tentative="1">
      <w:start w:val="1"/>
      <w:numFmt w:val="bullet"/>
      <w:lvlText w:val=" "/>
      <w:lvlJc w:val="left"/>
      <w:pPr>
        <w:tabs>
          <w:tab w:val="num" w:pos="2880"/>
        </w:tabs>
        <w:ind w:left="2880" w:hanging="360"/>
      </w:pPr>
      <w:rPr>
        <w:rFonts w:ascii="Tw Cen MT" w:hAnsi="Tw Cen MT" w:hint="default"/>
      </w:rPr>
    </w:lvl>
    <w:lvl w:ilvl="4" w:tplc="A82AD8A0" w:tentative="1">
      <w:start w:val="1"/>
      <w:numFmt w:val="bullet"/>
      <w:lvlText w:val=" "/>
      <w:lvlJc w:val="left"/>
      <w:pPr>
        <w:tabs>
          <w:tab w:val="num" w:pos="3600"/>
        </w:tabs>
        <w:ind w:left="3600" w:hanging="360"/>
      </w:pPr>
      <w:rPr>
        <w:rFonts w:ascii="Tw Cen MT" w:hAnsi="Tw Cen MT" w:hint="default"/>
      </w:rPr>
    </w:lvl>
    <w:lvl w:ilvl="5" w:tplc="EC065608" w:tentative="1">
      <w:start w:val="1"/>
      <w:numFmt w:val="bullet"/>
      <w:lvlText w:val=" "/>
      <w:lvlJc w:val="left"/>
      <w:pPr>
        <w:tabs>
          <w:tab w:val="num" w:pos="4320"/>
        </w:tabs>
        <w:ind w:left="4320" w:hanging="360"/>
      </w:pPr>
      <w:rPr>
        <w:rFonts w:ascii="Tw Cen MT" w:hAnsi="Tw Cen MT" w:hint="default"/>
      </w:rPr>
    </w:lvl>
    <w:lvl w:ilvl="6" w:tplc="DE68F7D8" w:tentative="1">
      <w:start w:val="1"/>
      <w:numFmt w:val="bullet"/>
      <w:lvlText w:val=" "/>
      <w:lvlJc w:val="left"/>
      <w:pPr>
        <w:tabs>
          <w:tab w:val="num" w:pos="5040"/>
        </w:tabs>
        <w:ind w:left="5040" w:hanging="360"/>
      </w:pPr>
      <w:rPr>
        <w:rFonts w:ascii="Tw Cen MT" w:hAnsi="Tw Cen MT" w:hint="default"/>
      </w:rPr>
    </w:lvl>
    <w:lvl w:ilvl="7" w:tplc="A162C314" w:tentative="1">
      <w:start w:val="1"/>
      <w:numFmt w:val="bullet"/>
      <w:lvlText w:val=" "/>
      <w:lvlJc w:val="left"/>
      <w:pPr>
        <w:tabs>
          <w:tab w:val="num" w:pos="5760"/>
        </w:tabs>
        <w:ind w:left="5760" w:hanging="360"/>
      </w:pPr>
      <w:rPr>
        <w:rFonts w:ascii="Tw Cen MT" w:hAnsi="Tw Cen MT" w:hint="default"/>
      </w:rPr>
    </w:lvl>
    <w:lvl w:ilvl="8" w:tplc="4B707C5E" w:tentative="1">
      <w:start w:val="1"/>
      <w:numFmt w:val="bullet"/>
      <w:lvlText w:val=" "/>
      <w:lvlJc w:val="left"/>
      <w:pPr>
        <w:tabs>
          <w:tab w:val="num" w:pos="6480"/>
        </w:tabs>
        <w:ind w:left="6480" w:hanging="360"/>
      </w:pPr>
      <w:rPr>
        <w:rFonts w:ascii="Tw Cen MT" w:hAnsi="Tw Cen MT" w:hint="default"/>
      </w:rPr>
    </w:lvl>
  </w:abstractNum>
  <w:abstractNum w:abstractNumId="6" w15:restartNumberingAfterBreak="0">
    <w:nsid w:val="68D92726"/>
    <w:multiLevelType w:val="hybridMultilevel"/>
    <w:tmpl w:val="48D813D8"/>
    <w:lvl w:ilvl="0" w:tplc="869ECC9E">
      <w:start w:val="1"/>
      <w:numFmt w:val="bullet"/>
      <w:lvlText w:val=" "/>
      <w:lvlJc w:val="left"/>
      <w:pPr>
        <w:tabs>
          <w:tab w:val="num" w:pos="720"/>
        </w:tabs>
        <w:ind w:left="720" w:hanging="360"/>
      </w:pPr>
      <w:rPr>
        <w:rFonts w:ascii="Tw Cen MT" w:hAnsi="Tw Cen MT" w:hint="default"/>
      </w:rPr>
    </w:lvl>
    <w:lvl w:ilvl="1" w:tplc="40C07856" w:tentative="1">
      <w:start w:val="1"/>
      <w:numFmt w:val="bullet"/>
      <w:lvlText w:val=" "/>
      <w:lvlJc w:val="left"/>
      <w:pPr>
        <w:tabs>
          <w:tab w:val="num" w:pos="1440"/>
        </w:tabs>
        <w:ind w:left="1440" w:hanging="360"/>
      </w:pPr>
      <w:rPr>
        <w:rFonts w:ascii="Tw Cen MT" w:hAnsi="Tw Cen MT" w:hint="default"/>
      </w:rPr>
    </w:lvl>
    <w:lvl w:ilvl="2" w:tplc="E078D680" w:tentative="1">
      <w:start w:val="1"/>
      <w:numFmt w:val="bullet"/>
      <w:lvlText w:val=" "/>
      <w:lvlJc w:val="left"/>
      <w:pPr>
        <w:tabs>
          <w:tab w:val="num" w:pos="2160"/>
        </w:tabs>
        <w:ind w:left="2160" w:hanging="360"/>
      </w:pPr>
      <w:rPr>
        <w:rFonts w:ascii="Tw Cen MT" w:hAnsi="Tw Cen MT" w:hint="default"/>
      </w:rPr>
    </w:lvl>
    <w:lvl w:ilvl="3" w:tplc="949EF0F4" w:tentative="1">
      <w:start w:val="1"/>
      <w:numFmt w:val="bullet"/>
      <w:lvlText w:val=" "/>
      <w:lvlJc w:val="left"/>
      <w:pPr>
        <w:tabs>
          <w:tab w:val="num" w:pos="2880"/>
        </w:tabs>
        <w:ind w:left="2880" w:hanging="360"/>
      </w:pPr>
      <w:rPr>
        <w:rFonts w:ascii="Tw Cen MT" w:hAnsi="Tw Cen MT" w:hint="default"/>
      </w:rPr>
    </w:lvl>
    <w:lvl w:ilvl="4" w:tplc="462690DE" w:tentative="1">
      <w:start w:val="1"/>
      <w:numFmt w:val="bullet"/>
      <w:lvlText w:val=" "/>
      <w:lvlJc w:val="left"/>
      <w:pPr>
        <w:tabs>
          <w:tab w:val="num" w:pos="3600"/>
        </w:tabs>
        <w:ind w:left="3600" w:hanging="360"/>
      </w:pPr>
      <w:rPr>
        <w:rFonts w:ascii="Tw Cen MT" w:hAnsi="Tw Cen MT" w:hint="default"/>
      </w:rPr>
    </w:lvl>
    <w:lvl w:ilvl="5" w:tplc="FC3A05F0" w:tentative="1">
      <w:start w:val="1"/>
      <w:numFmt w:val="bullet"/>
      <w:lvlText w:val=" "/>
      <w:lvlJc w:val="left"/>
      <w:pPr>
        <w:tabs>
          <w:tab w:val="num" w:pos="4320"/>
        </w:tabs>
        <w:ind w:left="4320" w:hanging="360"/>
      </w:pPr>
      <w:rPr>
        <w:rFonts w:ascii="Tw Cen MT" w:hAnsi="Tw Cen MT" w:hint="default"/>
      </w:rPr>
    </w:lvl>
    <w:lvl w:ilvl="6" w:tplc="34983534" w:tentative="1">
      <w:start w:val="1"/>
      <w:numFmt w:val="bullet"/>
      <w:lvlText w:val=" "/>
      <w:lvlJc w:val="left"/>
      <w:pPr>
        <w:tabs>
          <w:tab w:val="num" w:pos="5040"/>
        </w:tabs>
        <w:ind w:left="5040" w:hanging="360"/>
      </w:pPr>
      <w:rPr>
        <w:rFonts w:ascii="Tw Cen MT" w:hAnsi="Tw Cen MT" w:hint="default"/>
      </w:rPr>
    </w:lvl>
    <w:lvl w:ilvl="7" w:tplc="95069932" w:tentative="1">
      <w:start w:val="1"/>
      <w:numFmt w:val="bullet"/>
      <w:lvlText w:val=" "/>
      <w:lvlJc w:val="left"/>
      <w:pPr>
        <w:tabs>
          <w:tab w:val="num" w:pos="5760"/>
        </w:tabs>
        <w:ind w:left="5760" w:hanging="360"/>
      </w:pPr>
      <w:rPr>
        <w:rFonts w:ascii="Tw Cen MT" w:hAnsi="Tw Cen MT" w:hint="default"/>
      </w:rPr>
    </w:lvl>
    <w:lvl w:ilvl="8" w:tplc="8604D6A4" w:tentative="1">
      <w:start w:val="1"/>
      <w:numFmt w:val="bullet"/>
      <w:lvlText w:val=" "/>
      <w:lvlJc w:val="left"/>
      <w:pPr>
        <w:tabs>
          <w:tab w:val="num" w:pos="6480"/>
        </w:tabs>
        <w:ind w:left="6480" w:hanging="360"/>
      </w:pPr>
      <w:rPr>
        <w:rFonts w:ascii="Tw Cen MT" w:hAnsi="Tw Cen MT" w:hint="default"/>
      </w:rPr>
    </w:lvl>
  </w:abstractNum>
  <w:abstractNum w:abstractNumId="7" w15:restartNumberingAfterBreak="0">
    <w:nsid w:val="69B04370"/>
    <w:multiLevelType w:val="hybridMultilevel"/>
    <w:tmpl w:val="B114EB0A"/>
    <w:lvl w:ilvl="0" w:tplc="9C20F536">
      <w:start w:val="1"/>
      <w:numFmt w:val="bullet"/>
      <w:lvlText w:val=" "/>
      <w:lvlJc w:val="left"/>
      <w:pPr>
        <w:tabs>
          <w:tab w:val="num" w:pos="720"/>
        </w:tabs>
        <w:ind w:left="720" w:hanging="360"/>
      </w:pPr>
      <w:rPr>
        <w:rFonts w:ascii="Tw Cen MT" w:hAnsi="Tw Cen MT" w:hint="default"/>
      </w:rPr>
    </w:lvl>
    <w:lvl w:ilvl="1" w:tplc="B8A657B6" w:tentative="1">
      <w:start w:val="1"/>
      <w:numFmt w:val="bullet"/>
      <w:lvlText w:val=" "/>
      <w:lvlJc w:val="left"/>
      <w:pPr>
        <w:tabs>
          <w:tab w:val="num" w:pos="1440"/>
        </w:tabs>
        <w:ind w:left="1440" w:hanging="360"/>
      </w:pPr>
      <w:rPr>
        <w:rFonts w:ascii="Tw Cen MT" w:hAnsi="Tw Cen MT" w:hint="default"/>
      </w:rPr>
    </w:lvl>
    <w:lvl w:ilvl="2" w:tplc="6B889ECE" w:tentative="1">
      <w:start w:val="1"/>
      <w:numFmt w:val="bullet"/>
      <w:lvlText w:val=" "/>
      <w:lvlJc w:val="left"/>
      <w:pPr>
        <w:tabs>
          <w:tab w:val="num" w:pos="2160"/>
        </w:tabs>
        <w:ind w:left="2160" w:hanging="360"/>
      </w:pPr>
      <w:rPr>
        <w:rFonts w:ascii="Tw Cen MT" w:hAnsi="Tw Cen MT" w:hint="default"/>
      </w:rPr>
    </w:lvl>
    <w:lvl w:ilvl="3" w:tplc="BF329558" w:tentative="1">
      <w:start w:val="1"/>
      <w:numFmt w:val="bullet"/>
      <w:lvlText w:val=" "/>
      <w:lvlJc w:val="left"/>
      <w:pPr>
        <w:tabs>
          <w:tab w:val="num" w:pos="2880"/>
        </w:tabs>
        <w:ind w:left="2880" w:hanging="360"/>
      </w:pPr>
      <w:rPr>
        <w:rFonts w:ascii="Tw Cen MT" w:hAnsi="Tw Cen MT" w:hint="default"/>
      </w:rPr>
    </w:lvl>
    <w:lvl w:ilvl="4" w:tplc="B770E622" w:tentative="1">
      <w:start w:val="1"/>
      <w:numFmt w:val="bullet"/>
      <w:lvlText w:val=" "/>
      <w:lvlJc w:val="left"/>
      <w:pPr>
        <w:tabs>
          <w:tab w:val="num" w:pos="3600"/>
        </w:tabs>
        <w:ind w:left="3600" w:hanging="360"/>
      </w:pPr>
      <w:rPr>
        <w:rFonts w:ascii="Tw Cen MT" w:hAnsi="Tw Cen MT" w:hint="default"/>
      </w:rPr>
    </w:lvl>
    <w:lvl w:ilvl="5" w:tplc="35B81D42" w:tentative="1">
      <w:start w:val="1"/>
      <w:numFmt w:val="bullet"/>
      <w:lvlText w:val=" "/>
      <w:lvlJc w:val="left"/>
      <w:pPr>
        <w:tabs>
          <w:tab w:val="num" w:pos="4320"/>
        </w:tabs>
        <w:ind w:left="4320" w:hanging="360"/>
      </w:pPr>
      <w:rPr>
        <w:rFonts w:ascii="Tw Cen MT" w:hAnsi="Tw Cen MT" w:hint="default"/>
      </w:rPr>
    </w:lvl>
    <w:lvl w:ilvl="6" w:tplc="BC767496" w:tentative="1">
      <w:start w:val="1"/>
      <w:numFmt w:val="bullet"/>
      <w:lvlText w:val=" "/>
      <w:lvlJc w:val="left"/>
      <w:pPr>
        <w:tabs>
          <w:tab w:val="num" w:pos="5040"/>
        </w:tabs>
        <w:ind w:left="5040" w:hanging="360"/>
      </w:pPr>
      <w:rPr>
        <w:rFonts w:ascii="Tw Cen MT" w:hAnsi="Tw Cen MT" w:hint="default"/>
      </w:rPr>
    </w:lvl>
    <w:lvl w:ilvl="7" w:tplc="F7B8FD64" w:tentative="1">
      <w:start w:val="1"/>
      <w:numFmt w:val="bullet"/>
      <w:lvlText w:val=" "/>
      <w:lvlJc w:val="left"/>
      <w:pPr>
        <w:tabs>
          <w:tab w:val="num" w:pos="5760"/>
        </w:tabs>
        <w:ind w:left="5760" w:hanging="360"/>
      </w:pPr>
      <w:rPr>
        <w:rFonts w:ascii="Tw Cen MT" w:hAnsi="Tw Cen MT" w:hint="default"/>
      </w:rPr>
    </w:lvl>
    <w:lvl w:ilvl="8" w:tplc="9C609A88" w:tentative="1">
      <w:start w:val="1"/>
      <w:numFmt w:val="bullet"/>
      <w:lvlText w:val=" "/>
      <w:lvlJc w:val="left"/>
      <w:pPr>
        <w:tabs>
          <w:tab w:val="num" w:pos="6480"/>
        </w:tabs>
        <w:ind w:left="6480" w:hanging="360"/>
      </w:pPr>
      <w:rPr>
        <w:rFonts w:ascii="Tw Cen MT" w:hAnsi="Tw Cen MT" w:hint="default"/>
      </w:rPr>
    </w:lvl>
  </w:abstractNum>
  <w:abstractNum w:abstractNumId="8" w15:restartNumberingAfterBreak="0">
    <w:nsid w:val="6F39241D"/>
    <w:multiLevelType w:val="hybridMultilevel"/>
    <w:tmpl w:val="2A4E5682"/>
    <w:lvl w:ilvl="0" w:tplc="1172A0DC">
      <w:start w:val="1"/>
      <w:numFmt w:val="bullet"/>
      <w:lvlText w:val="-"/>
      <w:lvlJc w:val="left"/>
      <w:pPr>
        <w:tabs>
          <w:tab w:val="num" w:pos="720"/>
        </w:tabs>
        <w:ind w:left="720" w:hanging="360"/>
      </w:pPr>
      <w:rPr>
        <w:rFonts w:ascii="Times New Roman" w:hAnsi="Times New Roman" w:hint="default"/>
      </w:rPr>
    </w:lvl>
    <w:lvl w:ilvl="1" w:tplc="B0809FFC" w:tentative="1">
      <w:start w:val="1"/>
      <w:numFmt w:val="bullet"/>
      <w:lvlText w:val="-"/>
      <w:lvlJc w:val="left"/>
      <w:pPr>
        <w:tabs>
          <w:tab w:val="num" w:pos="1440"/>
        </w:tabs>
        <w:ind w:left="1440" w:hanging="360"/>
      </w:pPr>
      <w:rPr>
        <w:rFonts w:ascii="Times New Roman" w:hAnsi="Times New Roman" w:hint="default"/>
      </w:rPr>
    </w:lvl>
    <w:lvl w:ilvl="2" w:tplc="2F6C8D98" w:tentative="1">
      <w:start w:val="1"/>
      <w:numFmt w:val="bullet"/>
      <w:lvlText w:val="-"/>
      <w:lvlJc w:val="left"/>
      <w:pPr>
        <w:tabs>
          <w:tab w:val="num" w:pos="2160"/>
        </w:tabs>
        <w:ind w:left="2160" w:hanging="360"/>
      </w:pPr>
      <w:rPr>
        <w:rFonts w:ascii="Times New Roman" w:hAnsi="Times New Roman" w:hint="default"/>
      </w:rPr>
    </w:lvl>
    <w:lvl w:ilvl="3" w:tplc="85E672D4" w:tentative="1">
      <w:start w:val="1"/>
      <w:numFmt w:val="bullet"/>
      <w:lvlText w:val="-"/>
      <w:lvlJc w:val="left"/>
      <w:pPr>
        <w:tabs>
          <w:tab w:val="num" w:pos="2880"/>
        </w:tabs>
        <w:ind w:left="2880" w:hanging="360"/>
      </w:pPr>
      <w:rPr>
        <w:rFonts w:ascii="Times New Roman" w:hAnsi="Times New Roman" w:hint="default"/>
      </w:rPr>
    </w:lvl>
    <w:lvl w:ilvl="4" w:tplc="C5DC4622" w:tentative="1">
      <w:start w:val="1"/>
      <w:numFmt w:val="bullet"/>
      <w:lvlText w:val="-"/>
      <w:lvlJc w:val="left"/>
      <w:pPr>
        <w:tabs>
          <w:tab w:val="num" w:pos="3600"/>
        </w:tabs>
        <w:ind w:left="3600" w:hanging="360"/>
      </w:pPr>
      <w:rPr>
        <w:rFonts w:ascii="Times New Roman" w:hAnsi="Times New Roman" w:hint="default"/>
      </w:rPr>
    </w:lvl>
    <w:lvl w:ilvl="5" w:tplc="E870D76A" w:tentative="1">
      <w:start w:val="1"/>
      <w:numFmt w:val="bullet"/>
      <w:lvlText w:val="-"/>
      <w:lvlJc w:val="left"/>
      <w:pPr>
        <w:tabs>
          <w:tab w:val="num" w:pos="4320"/>
        </w:tabs>
        <w:ind w:left="4320" w:hanging="360"/>
      </w:pPr>
      <w:rPr>
        <w:rFonts w:ascii="Times New Roman" w:hAnsi="Times New Roman" w:hint="default"/>
      </w:rPr>
    </w:lvl>
    <w:lvl w:ilvl="6" w:tplc="BA4C91F2" w:tentative="1">
      <w:start w:val="1"/>
      <w:numFmt w:val="bullet"/>
      <w:lvlText w:val="-"/>
      <w:lvlJc w:val="left"/>
      <w:pPr>
        <w:tabs>
          <w:tab w:val="num" w:pos="5040"/>
        </w:tabs>
        <w:ind w:left="5040" w:hanging="360"/>
      </w:pPr>
      <w:rPr>
        <w:rFonts w:ascii="Times New Roman" w:hAnsi="Times New Roman" w:hint="default"/>
      </w:rPr>
    </w:lvl>
    <w:lvl w:ilvl="7" w:tplc="593011A6" w:tentative="1">
      <w:start w:val="1"/>
      <w:numFmt w:val="bullet"/>
      <w:lvlText w:val="-"/>
      <w:lvlJc w:val="left"/>
      <w:pPr>
        <w:tabs>
          <w:tab w:val="num" w:pos="5760"/>
        </w:tabs>
        <w:ind w:left="5760" w:hanging="360"/>
      </w:pPr>
      <w:rPr>
        <w:rFonts w:ascii="Times New Roman" w:hAnsi="Times New Roman" w:hint="default"/>
      </w:rPr>
    </w:lvl>
    <w:lvl w:ilvl="8" w:tplc="8EB05FE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1B338C6"/>
    <w:multiLevelType w:val="hybridMultilevel"/>
    <w:tmpl w:val="85EC3B16"/>
    <w:lvl w:ilvl="0" w:tplc="19BC911E">
      <w:start w:val="1"/>
      <w:numFmt w:val="bullet"/>
      <w:lvlText w:val=" "/>
      <w:lvlJc w:val="left"/>
      <w:pPr>
        <w:tabs>
          <w:tab w:val="num" w:pos="720"/>
        </w:tabs>
        <w:ind w:left="720" w:hanging="360"/>
      </w:pPr>
      <w:rPr>
        <w:rFonts w:ascii="Tw Cen MT" w:hAnsi="Tw Cen MT" w:hint="default"/>
      </w:rPr>
    </w:lvl>
    <w:lvl w:ilvl="1" w:tplc="BABAF58E" w:tentative="1">
      <w:start w:val="1"/>
      <w:numFmt w:val="bullet"/>
      <w:lvlText w:val=" "/>
      <w:lvlJc w:val="left"/>
      <w:pPr>
        <w:tabs>
          <w:tab w:val="num" w:pos="1440"/>
        </w:tabs>
        <w:ind w:left="1440" w:hanging="360"/>
      </w:pPr>
      <w:rPr>
        <w:rFonts w:ascii="Tw Cen MT" w:hAnsi="Tw Cen MT" w:hint="default"/>
      </w:rPr>
    </w:lvl>
    <w:lvl w:ilvl="2" w:tplc="DD32569A" w:tentative="1">
      <w:start w:val="1"/>
      <w:numFmt w:val="bullet"/>
      <w:lvlText w:val=" "/>
      <w:lvlJc w:val="left"/>
      <w:pPr>
        <w:tabs>
          <w:tab w:val="num" w:pos="2160"/>
        </w:tabs>
        <w:ind w:left="2160" w:hanging="360"/>
      </w:pPr>
      <w:rPr>
        <w:rFonts w:ascii="Tw Cen MT" w:hAnsi="Tw Cen MT" w:hint="default"/>
      </w:rPr>
    </w:lvl>
    <w:lvl w:ilvl="3" w:tplc="AD7E2B82" w:tentative="1">
      <w:start w:val="1"/>
      <w:numFmt w:val="bullet"/>
      <w:lvlText w:val=" "/>
      <w:lvlJc w:val="left"/>
      <w:pPr>
        <w:tabs>
          <w:tab w:val="num" w:pos="2880"/>
        </w:tabs>
        <w:ind w:left="2880" w:hanging="360"/>
      </w:pPr>
      <w:rPr>
        <w:rFonts w:ascii="Tw Cen MT" w:hAnsi="Tw Cen MT" w:hint="default"/>
      </w:rPr>
    </w:lvl>
    <w:lvl w:ilvl="4" w:tplc="916699CA" w:tentative="1">
      <w:start w:val="1"/>
      <w:numFmt w:val="bullet"/>
      <w:lvlText w:val=" "/>
      <w:lvlJc w:val="left"/>
      <w:pPr>
        <w:tabs>
          <w:tab w:val="num" w:pos="3600"/>
        </w:tabs>
        <w:ind w:left="3600" w:hanging="360"/>
      </w:pPr>
      <w:rPr>
        <w:rFonts w:ascii="Tw Cen MT" w:hAnsi="Tw Cen MT" w:hint="default"/>
      </w:rPr>
    </w:lvl>
    <w:lvl w:ilvl="5" w:tplc="76A2AB52" w:tentative="1">
      <w:start w:val="1"/>
      <w:numFmt w:val="bullet"/>
      <w:lvlText w:val=" "/>
      <w:lvlJc w:val="left"/>
      <w:pPr>
        <w:tabs>
          <w:tab w:val="num" w:pos="4320"/>
        </w:tabs>
        <w:ind w:left="4320" w:hanging="360"/>
      </w:pPr>
      <w:rPr>
        <w:rFonts w:ascii="Tw Cen MT" w:hAnsi="Tw Cen MT" w:hint="default"/>
      </w:rPr>
    </w:lvl>
    <w:lvl w:ilvl="6" w:tplc="F858FD8A" w:tentative="1">
      <w:start w:val="1"/>
      <w:numFmt w:val="bullet"/>
      <w:lvlText w:val=" "/>
      <w:lvlJc w:val="left"/>
      <w:pPr>
        <w:tabs>
          <w:tab w:val="num" w:pos="5040"/>
        </w:tabs>
        <w:ind w:left="5040" w:hanging="360"/>
      </w:pPr>
      <w:rPr>
        <w:rFonts w:ascii="Tw Cen MT" w:hAnsi="Tw Cen MT" w:hint="default"/>
      </w:rPr>
    </w:lvl>
    <w:lvl w:ilvl="7" w:tplc="47E6A9B4" w:tentative="1">
      <w:start w:val="1"/>
      <w:numFmt w:val="bullet"/>
      <w:lvlText w:val=" "/>
      <w:lvlJc w:val="left"/>
      <w:pPr>
        <w:tabs>
          <w:tab w:val="num" w:pos="5760"/>
        </w:tabs>
        <w:ind w:left="5760" w:hanging="360"/>
      </w:pPr>
      <w:rPr>
        <w:rFonts w:ascii="Tw Cen MT" w:hAnsi="Tw Cen MT" w:hint="default"/>
      </w:rPr>
    </w:lvl>
    <w:lvl w:ilvl="8" w:tplc="13A286CA" w:tentative="1">
      <w:start w:val="1"/>
      <w:numFmt w:val="bullet"/>
      <w:lvlText w:val=" "/>
      <w:lvlJc w:val="left"/>
      <w:pPr>
        <w:tabs>
          <w:tab w:val="num" w:pos="6480"/>
        </w:tabs>
        <w:ind w:left="6480" w:hanging="360"/>
      </w:pPr>
      <w:rPr>
        <w:rFonts w:ascii="Tw Cen MT" w:hAnsi="Tw Cen MT" w:hint="default"/>
      </w:rPr>
    </w:lvl>
  </w:abstractNum>
  <w:abstractNum w:abstractNumId="10" w15:restartNumberingAfterBreak="0">
    <w:nsid w:val="72B30DB4"/>
    <w:multiLevelType w:val="hybridMultilevel"/>
    <w:tmpl w:val="A97A18CE"/>
    <w:lvl w:ilvl="0" w:tplc="E052326C">
      <w:start w:val="1"/>
      <w:numFmt w:val="bullet"/>
      <w:lvlText w:val=" "/>
      <w:lvlJc w:val="left"/>
      <w:pPr>
        <w:tabs>
          <w:tab w:val="num" w:pos="720"/>
        </w:tabs>
        <w:ind w:left="720" w:hanging="360"/>
      </w:pPr>
      <w:rPr>
        <w:rFonts w:ascii="Tw Cen MT" w:hAnsi="Tw Cen MT" w:hint="default"/>
      </w:rPr>
    </w:lvl>
    <w:lvl w:ilvl="1" w:tplc="A742147E" w:tentative="1">
      <w:start w:val="1"/>
      <w:numFmt w:val="bullet"/>
      <w:lvlText w:val=" "/>
      <w:lvlJc w:val="left"/>
      <w:pPr>
        <w:tabs>
          <w:tab w:val="num" w:pos="1440"/>
        </w:tabs>
        <w:ind w:left="1440" w:hanging="360"/>
      </w:pPr>
      <w:rPr>
        <w:rFonts w:ascii="Tw Cen MT" w:hAnsi="Tw Cen MT" w:hint="default"/>
      </w:rPr>
    </w:lvl>
    <w:lvl w:ilvl="2" w:tplc="751670AA" w:tentative="1">
      <w:start w:val="1"/>
      <w:numFmt w:val="bullet"/>
      <w:lvlText w:val=" "/>
      <w:lvlJc w:val="left"/>
      <w:pPr>
        <w:tabs>
          <w:tab w:val="num" w:pos="2160"/>
        </w:tabs>
        <w:ind w:left="2160" w:hanging="360"/>
      </w:pPr>
      <w:rPr>
        <w:rFonts w:ascii="Tw Cen MT" w:hAnsi="Tw Cen MT" w:hint="default"/>
      </w:rPr>
    </w:lvl>
    <w:lvl w:ilvl="3" w:tplc="8EBC5FE2" w:tentative="1">
      <w:start w:val="1"/>
      <w:numFmt w:val="bullet"/>
      <w:lvlText w:val=" "/>
      <w:lvlJc w:val="left"/>
      <w:pPr>
        <w:tabs>
          <w:tab w:val="num" w:pos="2880"/>
        </w:tabs>
        <w:ind w:left="2880" w:hanging="360"/>
      </w:pPr>
      <w:rPr>
        <w:rFonts w:ascii="Tw Cen MT" w:hAnsi="Tw Cen MT" w:hint="default"/>
      </w:rPr>
    </w:lvl>
    <w:lvl w:ilvl="4" w:tplc="FBEC312A" w:tentative="1">
      <w:start w:val="1"/>
      <w:numFmt w:val="bullet"/>
      <w:lvlText w:val=" "/>
      <w:lvlJc w:val="left"/>
      <w:pPr>
        <w:tabs>
          <w:tab w:val="num" w:pos="3600"/>
        </w:tabs>
        <w:ind w:left="3600" w:hanging="360"/>
      </w:pPr>
      <w:rPr>
        <w:rFonts w:ascii="Tw Cen MT" w:hAnsi="Tw Cen MT" w:hint="default"/>
      </w:rPr>
    </w:lvl>
    <w:lvl w:ilvl="5" w:tplc="69289D12" w:tentative="1">
      <w:start w:val="1"/>
      <w:numFmt w:val="bullet"/>
      <w:lvlText w:val=" "/>
      <w:lvlJc w:val="left"/>
      <w:pPr>
        <w:tabs>
          <w:tab w:val="num" w:pos="4320"/>
        </w:tabs>
        <w:ind w:left="4320" w:hanging="360"/>
      </w:pPr>
      <w:rPr>
        <w:rFonts w:ascii="Tw Cen MT" w:hAnsi="Tw Cen MT" w:hint="default"/>
      </w:rPr>
    </w:lvl>
    <w:lvl w:ilvl="6" w:tplc="5F7C729C" w:tentative="1">
      <w:start w:val="1"/>
      <w:numFmt w:val="bullet"/>
      <w:lvlText w:val=" "/>
      <w:lvlJc w:val="left"/>
      <w:pPr>
        <w:tabs>
          <w:tab w:val="num" w:pos="5040"/>
        </w:tabs>
        <w:ind w:left="5040" w:hanging="360"/>
      </w:pPr>
      <w:rPr>
        <w:rFonts w:ascii="Tw Cen MT" w:hAnsi="Tw Cen MT" w:hint="default"/>
      </w:rPr>
    </w:lvl>
    <w:lvl w:ilvl="7" w:tplc="2ADA3BEE" w:tentative="1">
      <w:start w:val="1"/>
      <w:numFmt w:val="bullet"/>
      <w:lvlText w:val=" "/>
      <w:lvlJc w:val="left"/>
      <w:pPr>
        <w:tabs>
          <w:tab w:val="num" w:pos="5760"/>
        </w:tabs>
        <w:ind w:left="5760" w:hanging="360"/>
      </w:pPr>
      <w:rPr>
        <w:rFonts w:ascii="Tw Cen MT" w:hAnsi="Tw Cen MT" w:hint="default"/>
      </w:rPr>
    </w:lvl>
    <w:lvl w:ilvl="8" w:tplc="909C1D58" w:tentative="1">
      <w:start w:val="1"/>
      <w:numFmt w:val="bullet"/>
      <w:lvlText w:val=" "/>
      <w:lvlJc w:val="left"/>
      <w:pPr>
        <w:tabs>
          <w:tab w:val="num" w:pos="6480"/>
        </w:tabs>
        <w:ind w:left="6480" w:hanging="360"/>
      </w:pPr>
      <w:rPr>
        <w:rFonts w:ascii="Tw Cen MT" w:hAnsi="Tw Cen MT" w:hint="default"/>
      </w:rPr>
    </w:lvl>
  </w:abstractNum>
  <w:abstractNum w:abstractNumId="11" w15:restartNumberingAfterBreak="0">
    <w:nsid w:val="72CE1791"/>
    <w:multiLevelType w:val="hybridMultilevel"/>
    <w:tmpl w:val="8CCAA1E8"/>
    <w:lvl w:ilvl="0" w:tplc="F18E76B6">
      <w:start w:val="1"/>
      <w:numFmt w:val="bullet"/>
      <w:lvlText w:val=" "/>
      <w:lvlJc w:val="left"/>
      <w:pPr>
        <w:tabs>
          <w:tab w:val="num" w:pos="720"/>
        </w:tabs>
        <w:ind w:left="720" w:hanging="360"/>
      </w:pPr>
      <w:rPr>
        <w:rFonts w:ascii="Tw Cen MT" w:hAnsi="Tw Cen MT" w:hint="default"/>
      </w:rPr>
    </w:lvl>
    <w:lvl w:ilvl="1" w:tplc="85CA3980" w:tentative="1">
      <w:start w:val="1"/>
      <w:numFmt w:val="bullet"/>
      <w:lvlText w:val=" "/>
      <w:lvlJc w:val="left"/>
      <w:pPr>
        <w:tabs>
          <w:tab w:val="num" w:pos="1440"/>
        </w:tabs>
        <w:ind w:left="1440" w:hanging="360"/>
      </w:pPr>
      <w:rPr>
        <w:rFonts w:ascii="Tw Cen MT" w:hAnsi="Tw Cen MT" w:hint="default"/>
      </w:rPr>
    </w:lvl>
    <w:lvl w:ilvl="2" w:tplc="2F7021BE" w:tentative="1">
      <w:start w:val="1"/>
      <w:numFmt w:val="bullet"/>
      <w:lvlText w:val=" "/>
      <w:lvlJc w:val="left"/>
      <w:pPr>
        <w:tabs>
          <w:tab w:val="num" w:pos="2160"/>
        </w:tabs>
        <w:ind w:left="2160" w:hanging="360"/>
      </w:pPr>
      <w:rPr>
        <w:rFonts w:ascii="Tw Cen MT" w:hAnsi="Tw Cen MT" w:hint="default"/>
      </w:rPr>
    </w:lvl>
    <w:lvl w:ilvl="3" w:tplc="ED1A849C" w:tentative="1">
      <w:start w:val="1"/>
      <w:numFmt w:val="bullet"/>
      <w:lvlText w:val=" "/>
      <w:lvlJc w:val="left"/>
      <w:pPr>
        <w:tabs>
          <w:tab w:val="num" w:pos="2880"/>
        </w:tabs>
        <w:ind w:left="2880" w:hanging="360"/>
      </w:pPr>
      <w:rPr>
        <w:rFonts w:ascii="Tw Cen MT" w:hAnsi="Tw Cen MT" w:hint="default"/>
      </w:rPr>
    </w:lvl>
    <w:lvl w:ilvl="4" w:tplc="E77E81A8" w:tentative="1">
      <w:start w:val="1"/>
      <w:numFmt w:val="bullet"/>
      <w:lvlText w:val=" "/>
      <w:lvlJc w:val="left"/>
      <w:pPr>
        <w:tabs>
          <w:tab w:val="num" w:pos="3600"/>
        </w:tabs>
        <w:ind w:left="3600" w:hanging="360"/>
      </w:pPr>
      <w:rPr>
        <w:rFonts w:ascii="Tw Cen MT" w:hAnsi="Tw Cen MT" w:hint="default"/>
      </w:rPr>
    </w:lvl>
    <w:lvl w:ilvl="5" w:tplc="71E007AE" w:tentative="1">
      <w:start w:val="1"/>
      <w:numFmt w:val="bullet"/>
      <w:lvlText w:val=" "/>
      <w:lvlJc w:val="left"/>
      <w:pPr>
        <w:tabs>
          <w:tab w:val="num" w:pos="4320"/>
        </w:tabs>
        <w:ind w:left="4320" w:hanging="360"/>
      </w:pPr>
      <w:rPr>
        <w:rFonts w:ascii="Tw Cen MT" w:hAnsi="Tw Cen MT" w:hint="default"/>
      </w:rPr>
    </w:lvl>
    <w:lvl w:ilvl="6" w:tplc="FE688DF8" w:tentative="1">
      <w:start w:val="1"/>
      <w:numFmt w:val="bullet"/>
      <w:lvlText w:val=" "/>
      <w:lvlJc w:val="left"/>
      <w:pPr>
        <w:tabs>
          <w:tab w:val="num" w:pos="5040"/>
        </w:tabs>
        <w:ind w:left="5040" w:hanging="360"/>
      </w:pPr>
      <w:rPr>
        <w:rFonts w:ascii="Tw Cen MT" w:hAnsi="Tw Cen MT" w:hint="default"/>
      </w:rPr>
    </w:lvl>
    <w:lvl w:ilvl="7" w:tplc="05443D6A" w:tentative="1">
      <w:start w:val="1"/>
      <w:numFmt w:val="bullet"/>
      <w:lvlText w:val=" "/>
      <w:lvlJc w:val="left"/>
      <w:pPr>
        <w:tabs>
          <w:tab w:val="num" w:pos="5760"/>
        </w:tabs>
        <w:ind w:left="5760" w:hanging="360"/>
      </w:pPr>
      <w:rPr>
        <w:rFonts w:ascii="Tw Cen MT" w:hAnsi="Tw Cen MT" w:hint="default"/>
      </w:rPr>
    </w:lvl>
    <w:lvl w:ilvl="8" w:tplc="7E7A72C0" w:tentative="1">
      <w:start w:val="1"/>
      <w:numFmt w:val="bullet"/>
      <w:lvlText w:val=" "/>
      <w:lvlJc w:val="left"/>
      <w:pPr>
        <w:tabs>
          <w:tab w:val="num" w:pos="6480"/>
        </w:tabs>
        <w:ind w:left="6480" w:hanging="360"/>
      </w:pPr>
      <w:rPr>
        <w:rFonts w:ascii="Tw Cen MT" w:hAnsi="Tw Cen MT" w:hint="default"/>
      </w:rPr>
    </w:lvl>
  </w:abstractNum>
  <w:num w:numId="1">
    <w:abstractNumId w:val="5"/>
  </w:num>
  <w:num w:numId="2">
    <w:abstractNumId w:val="4"/>
  </w:num>
  <w:num w:numId="3">
    <w:abstractNumId w:val="2"/>
  </w:num>
  <w:num w:numId="4">
    <w:abstractNumId w:val="8"/>
  </w:num>
  <w:num w:numId="5">
    <w:abstractNumId w:val="3"/>
  </w:num>
  <w:num w:numId="6">
    <w:abstractNumId w:val="11"/>
  </w:num>
  <w:num w:numId="7">
    <w:abstractNumId w:val="10"/>
  </w:num>
  <w:num w:numId="8">
    <w:abstractNumId w:val="1"/>
  </w:num>
  <w:num w:numId="9">
    <w:abstractNumId w:val="7"/>
  </w:num>
  <w:num w:numId="10">
    <w:abstractNumId w:val="6"/>
  </w:num>
  <w:num w:numId="11">
    <w:abstractNumId w:val="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D11"/>
    <w:rsid w:val="00016486"/>
    <w:rsid w:val="00073755"/>
    <w:rsid w:val="000B0448"/>
    <w:rsid w:val="000B4C92"/>
    <w:rsid w:val="00123B70"/>
    <w:rsid w:val="001342C9"/>
    <w:rsid w:val="001908F8"/>
    <w:rsid w:val="001B0E9F"/>
    <w:rsid w:val="001F466F"/>
    <w:rsid w:val="0025050A"/>
    <w:rsid w:val="003D4070"/>
    <w:rsid w:val="003E053A"/>
    <w:rsid w:val="00455B3B"/>
    <w:rsid w:val="004B29E3"/>
    <w:rsid w:val="005227CD"/>
    <w:rsid w:val="00581D11"/>
    <w:rsid w:val="005C3792"/>
    <w:rsid w:val="00631BA0"/>
    <w:rsid w:val="00646683"/>
    <w:rsid w:val="00651CAA"/>
    <w:rsid w:val="0069628E"/>
    <w:rsid w:val="006A68CC"/>
    <w:rsid w:val="006B2F8F"/>
    <w:rsid w:val="007F23C4"/>
    <w:rsid w:val="00803CDA"/>
    <w:rsid w:val="008176DE"/>
    <w:rsid w:val="0083344D"/>
    <w:rsid w:val="00847526"/>
    <w:rsid w:val="008A4CA6"/>
    <w:rsid w:val="008A7ABA"/>
    <w:rsid w:val="00924ABB"/>
    <w:rsid w:val="009257EB"/>
    <w:rsid w:val="00977608"/>
    <w:rsid w:val="009778FE"/>
    <w:rsid w:val="009C4EA5"/>
    <w:rsid w:val="00AA3661"/>
    <w:rsid w:val="00B3359D"/>
    <w:rsid w:val="00B47F57"/>
    <w:rsid w:val="00B51F07"/>
    <w:rsid w:val="00B803E9"/>
    <w:rsid w:val="00CA391B"/>
    <w:rsid w:val="00D25CFE"/>
    <w:rsid w:val="00DF6713"/>
    <w:rsid w:val="00E72EAD"/>
    <w:rsid w:val="00EF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67C24"/>
  <w15:chartTrackingRefBased/>
  <w15:docId w15:val="{153AAD2D-E1E1-451B-AB47-AF0F682A9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3C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F23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657723">
      <w:bodyDiv w:val="1"/>
      <w:marLeft w:val="0"/>
      <w:marRight w:val="0"/>
      <w:marTop w:val="0"/>
      <w:marBottom w:val="0"/>
      <w:divBdr>
        <w:top w:val="none" w:sz="0" w:space="0" w:color="auto"/>
        <w:left w:val="none" w:sz="0" w:space="0" w:color="auto"/>
        <w:bottom w:val="none" w:sz="0" w:space="0" w:color="auto"/>
        <w:right w:val="none" w:sz="0" w:space="0" w:color="auto"/>
      </w:divBdr>
      <w:divsChild>
        <w:div w:id="876626835">
          <w:marLeft w:val="144"/>
          <w:marRight w:val="0"/>
          <w:marTop w:val="240"/>
          <w:marBottom w:val="40"/>
          <w:divBdr>
            <w:top w:val="none" w:sz="0" w:space="0" w:color="auto"/>
            <w:left w:val="none" w:sz="0" w:space="0" w:color="auto"/>
            <w:bottom w:val="none" w:sz="0" w:space="0" w:color="auto"/>
            <w:right w:val="none" w:sz="0" w:space="0" w:color="auto"/>
          </w:divBdr>
        </w:div>
      </w:divsChild>
    </w:div>
    <w:div w:id="276060777">
      <w:bodyDiv w:val="1"/>
      <w:marLeft w:val="0"/>
      <w:marRight w:val="0"/>
      <w:marTop w:val="0"/>
      <w:marBottom w:val="0"/>
      <w:divBdr>
        <w:top w:val="none" w:sz="0" w:space="0" w:color="auto"/>
        <w:left w:val="none" w:sz="0" w:space="0" w:color="auto"/>
        <w:bottom w:val="none" w:sz="0" w:space="0" w:color="auto"/>
        <w:right w:val="none" w:sz="0" w:space="0" w:color="auto"/>
      </w:divBdr>
      <w:divsChild>
        <w:div w:id="955215239">
          <w:marLeft w:val="274"/>
          <w:marRight w:val="0"/>
          <w:marTop w:val="240"/>
          <w:marBottom w:val="40"/>
          <w:divBdr>
            <w:top w:val="none" w:sz="0" w:space="0" w:color="auto"/>
            <w:left w:val="none" w:sz="0" w:space="0" w:color="auto"/>
            <w:bottom w:val="none" w:sz="0" w:space="0" w:color="auto"/>
            <w:right w:val="none" w:sz="0" w:space="0" w:color="auto"/>
          </w:divBdr>
        </w:div>
        <w:div w:id="1108934776">
          <w:marLeft w:val="144"/>
          <w:marRight w:val="0"/>
          <w:marTop w:val="240"/>
          <w:marBottom w:val="40"/>
          <w:divBdr>
            <w:top w:val="none" w:sz="0" w:space="0" w:color="auto"/>
            <w:left w:val="none" w:sz="0" w:space="0" w:color="auto"/>
            <w:bottom w:val="none" w:sz="0" w:space="0" w:color="auto"/>
            <w:right w:val="none" w:sz="0" w:space="0" w:color="auto"/>
          </w:divBdr>
        </w:div>
      </w:divsChild>
    </w:div>
    <w:div w:id="282808642">
      <w:bodyDiv w:val="1"/>
      <w:marLeft w:val="0"/>
      <w:marRight w:val="0"/>
      <w:marTop w:val="0"/>
      <w:marBottom w:val="0"/>
      <w:divBdr>
        <w:top w:val="none" w:sz="0" w:space="0" w:color="auto"/>
        <w:left w:val="none" w:sz="0" w:space="0" w:color="auto"/>
        <w:bottom w:val="none" w:sz="0" w:space="0" w:color="auto"/>
        <w:right w:val="none" w:sz="0" w:space="0" w:color="auto"/>
      </w:divBdr>
    </w:div>
    <w:div w:id="291400004">
      <w:bodyDiv w:val="1"/>
      <w:marLeft w:val="0"/>
      <w:marRight w:val="0"/>
      <w:marTop w:val="0"/>
      <w:marBottom w:val="0"/>
      <w:divBdr>
        <w:top w:val="none" w:sz="0" w:space="0" w:color="auto"/>
        <w:left w:val="none" w:sz="0" w:space="0" w:color="auto"/>
        <w:bottom w:val="none" w:sz="0" w:space="0" w:color="auto"/>
        <w:right w:val="none" w:sz="0" w:space="0" w:color="auto"/>
      </w:divBdr>
      <w:divsChild>
        <w:div w:id="293484494">
          <w:marLeft w:val="144"/>
          <w:marRight w:val="0"/>
          <w:marTop w:val="240"/>
          <w:marBottom w:val="40"/>
          <w:divBdr>
            <w:top w:val="none" w:sz="0" w:space="0" w:color="auto"/>
            <w:left w:val="none" w:sz="0" w:space="0" w:color="auto"/>
            <w:bottom w:val="none" w:sz="0" w:space="0" w:color="auto"/>
            <w:right w:val="none" w:sz="0" w:space="0" w:color="auto"/>
          </w:divBdr>
        </w:div>
        <w:div w:id="1479423043">
          <w:marLeft w:val="144"/>
          <w:marRight w:val="0"/>
          <w:marTop w:val="240"/>
          <w:marBottom w:val="40"/>
          <w:divBdr>
            <w:top w:val="none" w:sz="0" w:space="0" w:color="auto"/>
            <w:left w:val="none" w:sz="0" w:space="0" w:color="auto"/>
            <w:bottom w:val="none" w:sz="0" w:space="0" w:color="auto"/>
            <w:right w:val="none" w:sz="0" w:space="0" w:color="auto"/>
          </w:divBdr>
        </w:div>
      </w:divsChild>
    </w:div>
    <w:div w:id="320618391">
      <w:bodyDiv w:val="1"/>
      <w:marLeft w:val="0"/>
      <w:marRight w:val="0"/>
      <w:marTop w:val="0"/>
      <w:marBottom w:val="0"/>
      <w:divBdr>
        <w:top w:val="none" w:sz="0" w:space="0" w:color="auto"/>
        <w:left w:val="none" w:sz="0" w:space="0" w:color="auto"/>
        <w:bottom w:val="none" w:sz="0" w:space="0" w:color="auto"/>
        <w:right w:val="none" w:sz="0" w:space="0" w:color="auto"/>
      </w:divBdr>
    </w:div>
    <w:div w:id="445197791">
      <w:bodyDiv w:val="1"/>
      <w:marLeft w:val="0"/>
      <w:marRight w:val="0"/>
      <w:marTop w:val="0"/>
      <w:marBottom w:val="0"/>
      <w:divBdr>
        <w:top w:val="none" w:sz="0" w:space="0" w:color="auto"/>
        <w:left w:val="none" w:sz="0" w:space="0" w:color="auto"/>
        <w:bottom w:val="none" w:sz="0" w:space="0" w:color="auto"/>
        <w:right w:val="none" w:sz="0" w:space="0" w:color="auto"/>
      </w:divBdr>
      <w:divsChild>
        <w:div w:id="1250240163">
          <w:marLeft w:val="144"/>
          <w:marRight w:val="0"/>
          <w:marTop w:val="240"/>
          <w:marBottom w:val="40"/>
          <w:divBdr>
            <w:top w:val="none" w:sz="0" w:space="0" w:color="auto"/>
            <w:left w:val="none" w:sz="0" w:space="0" w:color="auto"/>
            <w:bottom w:val="none" w:sz="0" w:space="0" w:color="auto"/>
            <w:right w:val="none" w:sz="0" w:space="0" w:color="auto"/>
          </w:divBdr>
        </w:div>
        <w:div w:id="754865465">
          <w:marLeft w:val="144"/>
          <w:marRight w:val="0"/>
          <w:marTop w:val="240"/>
          <w:marBottom w:val="40"/>
          <w:divBdr>
            <w:top w:val="none" w:sz="0" w:space="0" w:color="auto"/>
            <w:left w:val="none" w:sz="0" w:space="0" w:color="auto"/>
            <w:bottom w:val="none" w:sz="0" w:space="0" w:color="auto"/>
            <w:right w:val="none" w:sz="0" w:space="0" w:color="auto"/>
          </w:divBdr>
        </w:div>
      </w:divsChild>
    </w:div>
    <w:div w:id="805002541">
      <w:bodyDiv w:val="1"/>
      <w:marLeft w:val="0"/>
      <w:marRight w:val="0"/>
      <w:marTop w:val="0"/>
      <w:marBottom w:val="0"/>
      <w:divBdr>
        <w:top w:val="none" w:sz="0" w:space="0" w:color="auto"/>
        <w:left w:val="none" w:sz="0" w:space="0" w:color="auto"/>
        <w:bottom w:val="none" w:sz="0" w:space="0" w:color="auto"/>
        <w:right w:val="none" w:sz="0" w:space="0" w:color="auto"/>
      </w:divBdr>
      <w:divsChild>
        <w:div w:id="1099064769">
          <w:marLeft w:val="144"/>
          <w:marRight w:val="0"/>
          <w:marTop w:val="240"/>
          <w:marBottom w:val="40"/>
          <w:divBdr>
            <w:top w:val="none" w:sz="0" w:space="0" w:color="auto"/>
            <w:left w:val="none" w:sz="0" w:space="0" w:color="auto"/>
            <w:bottom w:val="none" w:sz="0" w:space="0" w:color="auto"/>
            <w:right w:val="none" w:sz="0" w:space="0" w:color="auto"/>
          </w:divBdr>
        </w:div>
        <w:div w:id="1486816551">
          <w:marLeft w:val="144"/>
          <w:marRight w:val="0"/>
          <w:marTop w:val="240"/>
          <w:marBottom w:val="40"/>
          <w:divBdr>
            <w:top w:val="none" w:sz="0" w:space="0" w:color="auto"/>
            <w:left w:val="none" w:sz="0" w:space="0" w:color="auto"/>
            <w:bottom w:val="none" w:sz="0" w:space="0" w:color="auto"/>
            <w:right w:val="none" w:sz="0" w:space="0" w:color="auto"/>
          </w:divBdr>
        </w:div>
      </w:divsChild>
    </w:div>
    <w:div w:id="990211661">
      <w:bodyDiv w:val="1"/>
      <w:marLeft w:val="0"/>
      <w:marRight w:val="0"/>
      <w:marTop w:val="0"/>
      <w:marBottom w:val="0"/>
      <w:divBdr>
        <w:top w:val="none" w:sz="0" w:space="0" w:color="auto"/>
        <w:left w:val="none" w:sz="0" w:space="0" w:color="auto"/>
        <w:bottom w:val="none" w:sz="0" w:space="0" w:color="auto"/>
        <w:right w:val="none" w:sz="0" w:space="0" w:color="auto"/>
      </w:divBdr>
      <w:divsChild>
        <w:div w:id="1780484812">
          <w:marLeft w:val="144"/>
          <w:marRight w:val="0"/>
          <w:marTop w:val="240"/>
          <w:marBottom w:val="40"/>
          <w:divBdr>
            <w:top w:val="none" w:sz="0" w:space="0" w:color="auto"/>
            <w:left w:val="none" w:sz="0" w:space="0" w:color="auto"/>
            <w:bottom w:val="none" w:sz="0" w:space="0" w:color="auto"/>
            <w:right w:val="none" w:sz="0" w:space="0" w:color="auto"/>
          </w:divBdr>
        </w:div>
      </w:divsChild>
    </w:div>
    <w:div w:id="1350259318">
      <w:bodyDiv w:val="1"/>
      <w:marLeft w:val="0"/>
      <w:marRight w:val="0"/>
      <w:marTop w:val="0"/>
      <w:marBottom w:val="0"/>
      <w:divBdr>
        <w:top w:val="none" w:sz="0" w:space="0" w:color="auto"/>
        <w:left w:val="none" w:sz="0" w:space="0" w:color="auto"/>
        <w:bottom w:val="none" w:sz="0" w:space="0" w:color="auto"/>
        <w:right w:val="none" w:sz="0" w:space="0" w:color="auto"/>
      </w:divBdr>
      <w:divsChild>
        <w:div w:id="351221379">
          <w:marLeft w:val="144"/>
          <w:marRight w:val="0"/>
          <w:marTop w:val="240"/>
          <w:marBottom w:val="40"/>
          <w:divBdr>
            <w:top w:val="none" w:sz="0" w:space="0" w:color="auto"/>
            <w:left w:val="none" w:sz="0" w:space="0" w:color="auto"/>
            <w:bottom w:val="none" w:sz="0" w:space="0" w:color="auto"/>
            <w:right w:val="none" w:sz="0" w:space="0" w:color="auto"/>
          </w:divBdr>
        </w:div>
      </w:divsChild>
    </w:div>
    <w:div w:id="1439334032">
      <w:bodyDiv w:val="1"/>
      <w:marLeft w:val="0"/>
      <w:marRight w:val="0"/>
      <w:marTop w:val="0"/>
      <w:marBottom w:val="0"/>
      <w:divBdr>
        <w:top w:val="none" w:sz="0" w:space="0" w:color="auto"/>
        <w:left w:val="none" w:sz="0" w:space="0" w:color="auto"/>
        <w:bottom w:val="none" w:sz="0" w:space="0" w:color="auto"/>
        <w:right w:val="none" w:sz="0" w:space="0" w:color="auto"/>
      </w:divBdr>
    </w:div>
    <w:div w:id="1516142462">
      <w:bodyDiv w:val="1"/>
      <w:marLeft w:val="0"/>
      <w:marRight w:val="0"/>
      <w:marTop w:val="0"/>
      <w:marBottom w:val="0"/>
      <w:divBdr>
        <w:top w:val="none" w:sz="0" w:space="0" w:color="auto"/>
        <w:left w:val="none" w:sz="0" w:space="0" w:color="auto"/>
        <w:bottom w:val="none" w:sz="0" w:space="0" w:color="auto"/>
        <w:right w:val="none" w:sz="0" w:space="0" w:color="auto"/>
      </w:divBdr>
      <w:divsChild>
        <w:div w:id="674303444">
          <w:marLeft w:val="144"/>
          <w:marRight w:val="0"/>
          <w:marTop w:val="240"/>
          <w:marBottom w:val="40"/>
          <w:divBdr>
            <w:top w:val="none" w:sz="0" w:space="0" w:color="auto"/>
            <w:left w:val="none" w:sz="0" w:space="0" w:color="auto"/>
            <w:bottom w:val="none" w:sz="0" w:space="0" w:color="auto"/>
            <w:right w:val="none" w:sz="0" w:space="0" w:color="auto"/>
          </w:divBdr>
        </w:div>
        <w:div w:id="1325084734">
          <w:marLeft w:val="144"/>
          <w:marRight w:val="0"/>
          <w:marTop w:val="240"/>
          <w:marBottom w:val="40"/>
          <w:divBdr>
            <w:top w:val="none" w:sz="0" w:space="0" w:color="auto"/>
            <w:left w:val="none" w:sz="0" w:space="0" w:color="auto"/>
            <w:bottom w:val="none" w:sz="0" w:space="0" w:color="auto"/>
            <w:right w:val="none" w:sz="0" w:space="0" w:color="auto"/>
          </w:divBdr>
        </w:div>
        <w:div w:id="617881297">
          <w:marLeft w:val="144"/>
          <w:marRight w:val="0"/>
          <w:marTop w:val="240"/>
          <w:marBottom w:val="40"/>
          <w:divBdr>
            <w:top w:val="none" w:sz="0" w:space="0" w:color="auto"/>
            <w:left w:val="none" w:sz="0" w:space="0" w:color="auto"/>
            <w:bottom w:val="none" w:sz="0" w:space="0" w:color="auto"/>
            <w:right w:val="none" w:sz="0" w:space="0" w:color="auto"/>
          </w:divBdr>
        </w:div>
      </w:divsChild>
    </w:div>
    <w:div w:id="1687095339">
      <w:bodyDiv w:val="1"/>
      <w:marLeft w:val="0"/>
      <w:marRight w:val="0"/>
      <w:marTop w:val="0"/>
      <w:marBottom w:val="0"/>
      <w:divBdr>
        <w:top w:val="none" w:sz="0" w:space="0" w:color="auto"/>
        <w:left w:val="none" w:sz="0" w:space="0" w:color="auto"/>
        <w:bottom w:val="none" w:sz="0" w:space="0" w:color="auto"/>
        <w:right w:val="none" w:sz="0" w:space="0" w:color="auto"/>
      </w:divBdr>
      <w:divsChild>
        <w:div w:id="341393665">
          <w:marLeft w:val="144"/>
          <w:marRight w:val="0"/>
          <w:marTop w:val="240"/>
          <w:marBottom w:val="40"/>
          <w:divBdr>
            <w:top w:val="none" w:sz="0" w:space="0" w:color="auto"/>
            <w:left w:val="none" w:sz="0" w:space="0" w:color="auto"/>
            <w:bottom w:val="none" w:sz="0" w:space="0" w:color="auto"/>
            <w:right w:val="none" w:sz="0" w:space="0" w:color="auto"/>
          </w:divBdr>
        </w:div>
      </w:divsChild>
    </w:div>
    <w:div w:id="1721786304">
      <w:bodyDiv w:val="1"/>
      <w:marLeft w:val="0"/>
      <w:marRight w:val="0"/>
      <w:marTop w:val="0"/>
      <w:marBottom w:val="0"/>
      <w:divBdr>
        <w:top w:val="none" w:sz="0" w:space="0" w:color="auto"/>
        <w:left w:val="none" w:sz="0" w:space="0" w:color="auto"/>
        <w:bottom w:val="none" w:sz="0" w:space="0" w:color="auto"/>
        <w:right w:val="none" w:sz="0" w:space="0" w:color="auto"/>
      </w:divBdr>
      <w:divsChild>
        <w:div w:id="32388276">
          <w:marLeft w:val="144"/>
          <w:marRight w:val="0"/>
          <w:marTop w:val="240"/>
          <w:marBottom w:val="40"/>
          <w:divBdr>
            <w:top w:val="none" w:sz="0" w:space="0" w:color="auto"/>
            <w:left w:val="none" w:sz="0" w:space="0" w:color="auto"/>
            <w:bottom w:val="none" w:sz="0" w:space="0" w:color="auto"/>
            <w:right w:val="none" w:sz="0" w:space="0" w:color="auto"/>
          </w:divBdr>
        </w:div>
      </w:divsChild>
    </w:div>
    <w:div w:id="1917788803">
      <w:bodyDiv w:val="1"/>
      <w:marLeft w:val="0"/>
      <w:marRight w:val="0"/>
      <w:marTop w:val="0"/>
      <w:marBottom w:val="0"/>
      <w:divBdr>
        <w:top w:val="none" w:sz="0" w:space="0" w:color="auto"/>
        <w:left w:val="none" w:sz="0" w:space="0" w:color="auto"/>
        <w:bottom w:val="none" w:sz="0" w:space="0" w:color="auto"/>
        <w:right w:val="none" w:sz="0" w:space="0" w:color="auto"/>
      </w:divBdr>
      <w:divsChild>
        <w:div w:id="1076903056">
          <w:marLeft w:val="144"/>
          <w:marRight w:val="0"/>
          <w:marTop w:val="240"/>
          <w:marBottom w:val="40"/>
          <w:divBdr>
            <w:top w:val="none" w:sz="0" w:space="0" w:color="auto"/>
            <w:left w:val="none" w:sz="0" w:space="0" w:color="auto"/>
            <w:bottom w:val="none" w:sz="0" w:space="0" w:color="auto"/>
            <w:right w:val="none" w:sz="0" w:space="0" w:color="auto"/>
          </w:divBdr>
        </w:div>
        <w:div w:id="381055695">
          <w:marLeft w:val="144"/>
          <w:marRight w:val="0"/>
          <w:marTop w:val="240"/>
          <w:marBottom w:val="40"/>
          <w:divBdr>
            <w:top w:val="none" w:sz="0" w:space="0" w:color="auto"/>
            <w:left w:val="none" w:sz="0" w:space="0" w:color="auto"/>
            <w:bottom w:val="none" w:sz="0" w:space="0" w:color="auto"/>
            <w:right w:val="none" w:sz="0" w:space="0" w:color="auto"/>
          </w:divBdr>
        </w:div>
        <w:div w:id="657270826">
          <w:marLeft w:val="144"/>
          <w:marRight w:val="0"/>
          <w:marTop w:val="240"/>
          <w:marBottom w:val="40"/>
          <w:divBdr>
            <w:top w:val="none" w:sz="0" w:space="0" w:color="auto"/>
            <w:left w:val="none" w:sz="0" w:space="0" w:color="auto"/>
            <w:bottom w:val="none" w:sz="0" w:space="0" w:color="auto"/>
            <w:right w:val="none" w:sz="0" w:space="0" w:color="auto"/>
          </w:divBdr>
        </w:div>
      </w:divsChild>
    </w:div>
    <w:div w:id="2115396586">
      <w:bodyDiv w:val="1"/>
      <w:marLeft w:val="0"/>
      <w:marRight w:val="0"/>
      <w:marTop w:val="0"/>
      <w:marBottom w:val="0"/>
      <w:divBdr>
        <w:top w:val="none" w:sz="0" w:space="0" w:color="auto"/>
        <w:left w:val="none" w:sz="0" w:space="0" w:color="auto"/>
        <w:bottom w:val="none" w:sz="0" w:space="0" w:color="auto"/>
        <w:right w:val="none" w:sz="0" w:space="0" w:color="auto"/>
      </w:divBdr>
      <w:divsChild>
        <w:div w:id="507327765">
          <w:marLeft w:val="144"/>
          <w:marRight w:val="0"/>
          <w:marTop w:val="240"/>
          <w:marBottom w:val="40"/>
          <w:divBdr>
            <w:top w:val="none" w:sz="0" w:space="0" w:color="auto"/>
            <w:left w:val="none" w:sz="0" w:space="0" w:color="auto"/>
            <w:bottom w:val="none" w:sz="0" w:space="0" w:color="auto"/>
            <w:right w:val="none" w:sz="0" w:space="0" w:color="auto"/>
          </w:divBdr>
        </w:div>
      </w:divsChild>
    </w:div>
    <w:div w:id="2122338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6443</Words>
  <Characters>36729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H15HolmesT</cp:lastModifiedBy>
  <cp:revision>2</cp:revision>
  <cp:lastPrinted>2020-02-07T16:55:00Z</cp:lastPrinted>
  <dcterms:created xsi:type="dcterms:W3CDTF">2020-02-08T14:08:00Z</dcterms:created>
  <dcterms:modified xsi:type="dcterms:W3CDTF">2020-02-08T14:08:00Z</dcterms:modified>
</cp:coreProperties>
</file>