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A32D8" w14:textId="49E57B65" w:rsidR="006B1AF4" w:rsidRPr="001A2B4B" w:rsidRDefault="00197009">
      <w:pPr>
        <w:rPr>
          <w:b/>
          <w:bCs/>
          <w:u w:val="single"/>
        </w:rPr>
      </w:pPr>
      <w:r w:rsidRPr="001A2B4B">
        <w:rPr>
          <w:b/>
          <w:bCs/>
          <w:u w:val="single"/>
        </w:rPr>
        <w:t>Annotated Bibliography on Egyptian Mythology</w:t>
      </w:r>
      <w:r w:rsidR="00FD35FF">
        <w:rPr>
          <w:b/>
          <w:bCs/>
          <w:u w:val="single"/>
        </w:rPr>
        <w:t xml:space="preserve">/Religion </w:t>
      </w:r>
    </w:p>
    <w:p w14:paraId="374A4934" w14:textId="3D5B9A2B" w:rsidR="001A2B4B" w:rsidRDefault="001A2B4B"/>
    <w:p w14:paraId="7E363331" w14:textId="5F1D50A6" w:rsidR="00B33EA3" w:rsidRPr="00877AB1" w:rsidRDefault="00B33EA3">
      <w:pPr>
        <w:rPr>
          <w:b/>
          <w:bCs/>
        </w:rPr>
      </w:pPr>
      <w:r w:rsidRPr="00877AB1">
        <w:rPr>
          <w:b/>
          <w:bCs/>
        </w:rPr>
        <w:t>Shaw G.J</w:t>
      </w:r>
      <w:r w:rsidR="00403B14">
        <w:rPr>
          <w:b/>
          <w:bCs/>
        </w:rPr>
        <w:t>,</w:t>
      </w:r>
      <w:r w:rsidR="00877AB1" w:rsidRPr="00877AB1">
        <w:rPr>
          <w:b/>
          <w:bCs/>
        </w:rPr>
        <w:t xml:space="preserve"> 201</w:t>
      </w:r>
      <w:r w:rsidR="00136349">
        <w:rPr>
          <w:b/>
          <w:bCs/>
        </w:rPr>
        <w:t>4</w:t>
      </w:r>
      <w:r w:rsidR="00877AB1" w:rsidRPr="00877AB1">
        <w:rPr>
          <w:b/>
          <w:bCs/>
          <w:i/>
          <w:iCs/>
        </w:rPr>
        <w:t xml:space="preserve">. </w:t>
      </w:r>
      <w:r w:rsidRPr="00877AB1">
        <w:rPr>
          <w:b/>
          <w:bCs/>
          <w:i/>
          <w:iCs/>
        </w:rPr>
        <w:t>The Egyptian Myths: a guide to the Ancient Gods and Legends</w:t>
      </w:r>
      <w:r w:rsidRPr="00877AB1">
        <w:rPr>
          <w:b/>
          <w:bCs/>
        </w:rPr>
        <w:t>.</w:t>
      </w:r>
      <w:r w:rsidR="00877AB1" w:rsidRPr="00877AB1">
        <w:rPr>
          <w:b/>
          <w:bCs/>
        </w:rPr>
        <w:t xml:space="preserve"> London. Thames &amp; Hudson.</w:t>
      </w:r>
    </w:p>
    <w:p w14:paraId="693AF129" w14:textId="55E39C71" w:rsidR="00755B7B" w:rsidRDefault="00FF3313">
      <w:r>
        <w:t>Shaw’s 201</w:t>
      </w:r>
      <w:r w:rsidR="00136349">
        <w:t>4</w:t>
      </w:r>
      <w:r>
        <w:t xml:space="preserve"> </w:t>
      </w:r>
      <w:r w:rsidR="00136349">
        <w:t>book</w:t>
      </w:r>
      <w:r w:rsidR="0072095C">
        <w:t xml:space="preserve"> </w:t>
      </w:r>
      <w:r w:rsidR="00136349">
        <w:t xml:space="preserve">is </w:t>
      </w:r>
      <w:r w:rsidR="0072095C">
        <w:t>a collection and interpretation of the surviving Egyptian myths we have</w:t>
      </w:r>
      <w:r w:rsidR="00755B7B">
        <w:t xml:space="preserve"> and orders </w:t>
      </w:r>
      <w:r w:rsidR="00805829">
        <w:t xml:space="preserve">them </w:t>
      </w:r>
      <w:r w:rsidR="00755B7B">
        <w:t>into a context that allows the mythology to be understandable to a wide audience who may not have an academic background.</w:t>
      </w:r>
      <w:r w:rsidR="007668E3">
        <w:t xml:space="preserve"> </w:t>
      </w:r>
      <w:r w:rsidR="00805829">
        <w:t xml:space="preserve">The books aims to answer 3 questions in relation to the philosophy of religion, </w:t>
      </w:r>
      <w:proofErr w:type="gramStart"/>
      <w:r w:rsidR="00A064E4">
        <w:t>W</w:t>
      </w:r>
      <w:r w:rsidR="00805829">
        <w:t>here</w:t>
      </w:r>
      <w:proofErr w:type="gramEnd"/>
      <w:r w:rsidR="00805829">
        <w:t xml:space="preserve"> did we come from</w:t>
      </w:r>
      <w:r w:rsidR="00A064E4">
        <w:t>?</w:t>
      </w:r>
      <w:r w:rsidR="00805829">
        <w:t xml:space="preserve"> </w:t>
      </w:r>
      <w:r w:rsidR="00A064E4">
        <w:t>W</w:t>
      </w:r>
      <w:r w:rsidR="00805829">
        <w:t>hy is the world the way it is</w:t>
      </w:r>
      <w:r w:rsidR="00A064E4">
        <w:t>?</w:t>
      </w:r>
      <w:r w:rsidR="00805829">
        <w:t xml:space="preserve"> and </w:t>
      </w:r>
      <w:r w:rsidR="00A064E4">
        <w:t>W</w:t>
      </w:r>
      <w:r w:rsidR="00805829">
        <w:t xml:space="preserve">hat happens after death? </w:t>
      </w:r>
      <w:r w:rsidR="00A064E4">
        <w:t xml:space="preserve"> </w:t>
      </w:r>
      <w:r w:rsidR="00805829">
        <w:t xml:space="preserve">Shaw then presents us with how the Egyptians </w:t>
      </w:r>
      <w:r w:rsidR="003A4850">
        <w:t xml:space="preserve">may </w:t>
      </w:r>
      <w:r w:rsidR="00805829">
        <w:t xml:space="preserve">have responded in accordance with their understanding of </w:t>
      </w:r>
      <w:r w:rsidR="00696889">
        <w:t xml:space="preserve">their own </w:t>
      </w:r>
      <w:r w:rsidR="00805829">
        <w:t>mythology/religion</w:t>
      </w:r>
      <w:r w:rsidR="003A4850">
        <w:t xml:space="preserve">. </w:t>
      </w:r>
    </w:p>
    <w:p w14:paraId="5024D8B7" w14:textId="2010D04B" w:rsidR="00F84516" w:rsidRDefault="00F84516"/>
    <w:p w14:paraId="3C9DD4CA" w14:textId="20C72897" w:rsidR="00F84516" w:rsidRDefault="003A4850">
      <w:r>
        <w:t>Despite its retelling of the Egyptian mythology t</w:t>
      </w:r>
      <w:r w:rsidR="00F84516">
        <w:t xml:space="preserve">he book is limited for those who would use this book </w:t>
      </w:r>
      <w:r w:rsidR="00C61A22">
        <w:t xml:space="preserve">to understand the origin and history behind the myths, </w:t>
      </w:r>
      <w:r w:rsidR="00F84516">
        <w:t xml:space="preserve">as although </w:t>
      </w:r>
      <w:r w:rsidR="007C0865">
        <w:t>It provides the narrative of many myths and legends, it</w:t>
      </w:r>
      <w:r w:rsidR="00703672">
        <w:t xml:space="preserve"> i</w:t>
      </w:r>
      <w:r w:rsidR="007C0865">
        <w:t>s main demographic is for people being introduced into Egyptian mythology</w:t>
      </w:r>
      <w:r w:rsidR="00C61A22">
        <w:t xml:space="preserve">, and hence only provides the narrative and not the interpretations of different scholars over the years. Also, when reading through </w:t>
      </w:r>
      <w:r w:rsidR="007C0865">
        <w:t>the bibliography</w:t>
      </w:r>
      <w:r w:rsidR="00C61A22">
        <w:t xml:space="preserve">, it </w:t>
      </w:r>
      <w:r w:rsidR="007C0865">
        <w:t>is difficult as each reference is</w:t>
      </w:r>
      <w:r w:rsidR="00703672">
        <w:t xml:space="preserve"> no</w:t>
      </w:r>
      <w:r w:rsidR="007C0865">
        <w:t xml:space="preserve">t clearly labelled to which myth the work is on. </w:t>
      </w:r>
    </w:p>
    <w:p w14:paraId="46077837" w14:textId="279BBCB5" w:rsidR="00C61A22" w:rsidRDefault="00C61A22"/>
    <w:p w14:paraId="1CA346B8" w14:textId="17DF8909" w:rsidR="00C61A22" w:rsidRDefault="00C61A22">
      <w:r>
        <w:t>Shaw’s work can be seen as an introduction into researching the mythology and religious beliefs of Ancient Egypt</w:t>
      </w:r>
      <w:r w:rsidR="003A4850">
        <w:t xml:space="preserve"> as although the book is based on the works and translations of many scholars, </w:t>
      </w:r>
      <w:r w:rsidR="00F25E97">
        <w:t>they do</w:t>
      </w:r>
      <w:r w:rsidR="00703672">
        <w:t xml:space="preserve"> </w:t>
      </w:r>
      <w:r w:rsidR="00F25E97">
        <w:t>n</w:t>
      </w:r>
      <w:r w:rsidR="00703672">
        <w:t>o</w:t>
      </w:r>
      <w:r w:rsidR="00F25E97">
        <w:t>t explain the different variations of the translations and how the myth has evolved and adapted over time. Therefore, it</w:t>
      </w:r>
      <w:r w:rsidR="00703672">
        <w:t xml:space="preserve"> i</w:t>
      </w:r>
      <w:r w:rsidR="00F25E97">
        <w:t>s a good source to reference if you</w:t>
      </w:r>
      <w:r w:rsidR="00703672">
        <w:t xml:space="preserve"> a</w:t>
      </w:r>
      <w:r w:rsidR="00F25E97">
        <w:t>re talking about a specific aspect of narrative from a myth, but not the context and understanding of it.</w:t>
      </w:r>
    </w:p>
    <w:p w14:paraId="515A0D85" w14:textId="69DA17A1" w:rsidR="000A32A2" w:rsidRDefault="000A32A2"/>
    <w:p w14:paraId="6EC97698" w14:textId="77777777" w:rsidR="00BE55B5" w:rsidRDefault="00BE55B5"/>
    <w:p w14:paraId="63575D6C" w14:textId="002A2559" w:rsidR="000A32A2" w:rsidRPr="0027125D" w:rsidRDefault="000A32A2" w:rsidP="000A32A2">
      <w:pPr>
        <w:rPr>
          <w:b/>
          <w:bCs/>
        </w:rPr>
      </w:pPr>
      <w:r w:rsidRPr="0027125D">
        <w:rPr>
          <w:b/>
          <w:bCs/>
        </w:rPr>
        <w:t>Smith S.T</w:t>
      </w:r>
      <w:r w:rsidR="0027125D" w:rsidRPr="0027125D">
        <w:rPr>
          <w:b/>
          <w:bCs/>
        </w:rPr>
        <w:t xml:space="preserve"> &amp; Moyes H. (ed). </w:t>
      </w:r>
      <w:r w:rsidRPr="0027125D">
        <w:rPr>
          <w:b/>
          <w:bCs/>
        </w:rPr>
        <w:t>2012</w:t>
      </w:r>
      <w:r w:rsidR="0027125D" w:rsidRPr="0027125D">
        <w:rPr>
          <w:b/>
          <w:bCs/>
        </w:rPr>
        <w:t xml:space="preserve">. </w:t>
      </w:r>
      <w:r w:rsidR="0027125D" w:rsidRPr="0027125D">
        <w:rPr>
          <w:b/>
          <w:bCs/>
        </w:rPr>
        <w:t>Sacred Darkness</w:t>
      </w:r>
      <w:r w:rsidR="0027125D" w:rsidRPr="0027125D">
        <w:rPr>
          <w:b/>
          <w:bCs/>
        </w:rPr>
        <w:t xml:space="preserve">. </w:t>
      </w:r>
      <w:r w:rsidR="002F0077" w:rsidRPr="0027125D">
        <w:rPr>
          <w:b/>
          <w:bCs/>
          <w:i/>
          <w:iCs/>
        </w:rPr>
        <w:t>The Chamber of Secrets: Grottoes, Caves, and the Underworld in Ancient</w:t>
      </w:r>
      <w:r w:rsidR="0027125D" w:rsidRPr="0027125D">
        <w:rPr>
          <w:b/>
          <w:bCs/>
          <w:i/>
          <w:iCs/>
        </w:rPr>
        <w:t xml:space="preserve"> </w:t>
      </w:r>
      <w:r w:rsidR="002F0077" w:rsidRPr="0027125D">
        <w:rPr>
          <w:b/>
          <w:bCs/>
          <w:i/>
          <w:iCs/>
        </w:rPr>
        <w:t>Egyptian Religion</w:t>
      </w:r>
      <w:r w:rsidR="0027125D" w:rsidRPr="0027125D">
        <w:rPr>
          <w:b/>
          <w:bCs/>
        </w:rPr>
        <w:t xml:space="preserve">. Colorado. </w:t>
      </w:r>
      <w:r w:rsidR="0027125D" w:rsidRPr="0027125D">
        <w:rPr>
          <w:b/>
          <w:bCs/>
        </w:rPr>
        <w:t>University Press of Colorado</w:t>
      </w:r>
      <w:r w:rsidR="0027125D" w:rsidRPr="0027125D">
        <w:rPr>
          <w:b/>
          <w:bCs/>
        </w:rPr>
        <w:t xml:space="preserve">. </w:t>
      </w:r>
      <w:r w:rsidR="002F0077" w:rsidRPr="0027125D">
        <w:rPr>
          <w:b/>
          <w:bCs/>
        </w:rPr>
        <w:t>[Accessed on 4th April 2020]</w:t>
      </w:r>
    </w:p>
    <w:p w14:paraId="2AE5403C" w14:textId="40A24178" w:rsidR="009F1A16" w:rsidRDefault="009F1A16">
      <w:r>
        <w:t>This chapter in Smiths’ 2012 book</w:t>
      </w:r>
      <w:r w:rsidR="00F25E97">
        <w:t>,</w:t>
      </w:r>
      <w:r>
        <w:t xml:space="preserve"> examines the use and role caves had on the faith and religion of Ancient Egypt.</w:t>
      </w:r>
      <w:r w:rsidR="00A216EF">
        <w:t xml:space="preserve"> </w:t>
      </w:r>
      <w:r w:rsidR="00573E9F">
        <w:t xml:space="preserve">His argument centres around </w:t>
      </w:r>
      <w:r w:rsidR="00F25E97">
        <w:t>a number of</w:t>
      </w:r>
      <w:r w:rsidR="00573E9F">
        <w:t xml:space="preserve"> main </w:t>
      </w:r>
      <w:r w:rsidR="00F25E97">
        <w:t>points but mainly</w:t>
      </w:r>
      <w:r w:rsidR="00573E9F">
        <w:t xml:space="preserve">, the </w:t>
      </w:r>
      <w:r w:rsidR="00573E9F">
        <w:t>Journey of Ra across the realms of day and night</w:t>
      </w:r>
      <w:r w:rsidR="00573E9F">
        <w:t xml:space="preserve">, </w:t>
      </w:r>
      <w:r w:rsidR="00F25E97">
        <w:t xml:space="preserve">the use of light and dark spaces </w:t>
      </w:r>
      <w:r w:rsidR="00573E9F">
        <w:t xml:space="preserve">and the Valley of the Kings. </w:t>
      </w:r>
      <w:r w:rsidR="00870951">
        <w:t>These key aspects of Egyptian religion and mythology show how large of a role caves played to Egyptian society as they were incorporated with their understanding of the afterlife and how they interpreted the geography and physical understanding of their world.</w:t>
      </w:r>
    </w:p>
    <w:p w14:paraId="2BB666D2" w14:textId="77777777" w:rsidR="00DC3252" w:rsidRDefault="00DC3252"/>
    <w:p w14:paraId="2033D36E" w14:textId="26385C60" w:rsidR="00A14385" w:rsidRDefault="00870951">
      <w:r>
        <w:t>Although an article regarding caves may seem unusual</w:t>
      </w:r>
      <w:r w:rsidR="009028FE">
        <w:t xml:space="preserve"> for academic reading</w:t>
      </w:r>
      <w:r>
        <w:t>, t</w:t>
      </w:r>
      <w:r w:rsidR="009028FE">
        <w:t>he</w:t>
      </w:r>
      <w:r>
        <w:t xml:space="preserve"> </w:t>
      </w:r>
      <w:r w:rsidR="009028FE">
        <w:t>chapter</w:t>
      </w:r>
      <w:r>
        <w:t xml:space="preserve"> helps to clarify some of the big themes to the society of Ancient Egypt. </w:t>
      </w:r>
      <w:r w:rsidR="00DC3252">
        <w:t>A</w:t>
      </w:r>
      <w:r>
        <w:t>s per mentioned the article shows the connection between caves and entrances/gateways to the afterlife</w:t>
      </w:r>
      <w:r w:rsidR="009028FE">
        <w:t xml:space="preserve">, therefore anyone wishing to understand how the Egyptians </w:t>
      </w:r>
      <w:r w:rsidR="00F25E97">
        <w:t xml:space="preserve">may have </w:t>
      </w:r>
      <w:r w:rsidR="009028FE">
        <w:t>interpreted their understanding of the physical world and on religious burials</w:t>
      </w:r>
      <w:r w:rsidR="00F25E97">
        <w:t xml:space="preserve"> can reference this article. </w:t>
      </w:r>
      <w:r w:rsidR="009F1A16">
        <w:t xml:space="preserve">The article is </w:t>
      </w:r>
      <w:r w:rsidR="009028FE">
        <w:t xml:space="preserve">also </w:t>
      </w:r>
      <w:r w:rsidR="009F1A16">
        <w:t>quite heavily illustrated</w:t>
      </w:r>
      <w:r w:rsidR="00A216EF">
        <w:t>,</w:t>
      </w:r>
      <w:r w:rsidR="009F1A16">
        <w:t xml:space="preserve"> which allows </w:t>
      </w:r>
      <w:r w:rsidR="00A14385">
        <w:t xml:space="preserve">for </w:t>
      </w:r>
      <w:r w:rsidR="00EE08F8">
        <w:t>further</w:t>
      </w:r>
      <w:r w:rsidR="00A14385">
        <w:t xml:space="preserve"> and greater understanding of some of the t</w:t>
      </w:r>
      <w:r w:rsidR="009028FE">
        <w:t>hemes</w:t>
      </w:r>
      <w:r w:rsidR="00A14385">
        <w:t xml:space="preserve"> discussed</w:t>
      </w:r>
      <w:r w:rsidR="009028FE">
        <w:t xml:space="preserve"> such as showing Ra’s journey and </w:t>
      </w:r>
      <w:r w:rsidR="00F25E97">
        <w:t>a number of tomb artwork.</w:t>
      </w:r>
      <w:r w:rsidR="00D13B3C">
        <w:t xml:space="preserve"> The only limitation of the book is </w:t>
      </w:r>
      <w:r w:rsidR="00DC3252">
        <w:t xml:space="preserve">in regard to </w:t>
      </w:r>
      <w:r w:rsidR="00D13B3C">
        <w:t xml:space="preserve">the </w:t>
      </w:r>
      <w:r w:rsidR="00703672">
        <w:t xml:space="preserve">inconsistence of </w:t>
      </w:r>
      <w:r w:rsidR="00D13B3C">
        <w:t>Pharaoh</w:t>
      </w:r>
      <w:r w:rsidR="00703672">
        <w:t xml:space="preserve"> tomb locations. It is believed that many pre-dynastic</w:t>
      </w:r>
      <w:r w:rsidR="00E134F4">
        <w:t xml:space="preserve"> and </w:t>
      </w:r>
      <w:r w:rsidR="00703672">
        <w:t xml:space="preserve">Old Kingdom pharaohs were buried in the ground </w:t>
      </w:r>
      <w:r w:rsidR="00703672">
        <w:lastRenderedPageBreak/>
        <w:t>or where placed in Pyramids, which goes against some of the ideas stated by Smith</w:t>
      </w:r>
      <w:r w:rsidR="00DC3252">
        <w:t xml:space="preserve"> with cave burials</w:t>
      </w:r>
      <w:r w:rsidR="00E134F4">
        <w:t xml:space="preserve"> which occur later in the mid and new kingdoms</w:t>
      </w:r>
      <w:r w:rsidR="00703672">
        <w:t xml:space="preserve">. </w:t>
      </w:r>
      <w:r w:rsidR="00DC3252">
        <w:t xml:space="preserve"> </w:t>
      </w:r>
      <w:r w:rsidR="00E134F4">
        <w:t>However, this could show us how the Egyptian faith and their interpretation of the world changed over time.</w:t>
      </w:r>
    </w:p>
    <w:p w14:paraId="5BE34275" w14:textId="63A2C42F" w:rsidR="009F1A16" w:rsidRDefault="00E134F4">
      <w:r>
        <w:t>Smith’s article offers an interesting interpretation</w:t>
      </w:r>
      <w:r w:rsidR="0046048A">
        <w:t xml:space="preserve"> for academics researching and understanding </w:t>
      </w:r>
      <w:r>
        <w:t>how the Egyptians viewed the world they lived in and how that impacted on their religion</w:t>
      </w:r>
      <w:r w:rsidR="0046048A">
        <w:t>. B</w:t>
      </w:r>
      <w:r>
        <w:t>y taking a simple aspect of the geography</w:t>
      </w:r>
      <w:r w:rsidR="0046048A">
        <w:t xml:space="preserve"> and then interpreting the myths surrounding this geographical aspect, smith shows how this feature was of some significance than previously thought.</w:t>
      </w:r>
    </w:p>
    <w:p w14:paraId="23EC613A" w14:textId="77777777" w:rsidR="009F1A16" w:rsidRDefault="009F1A16"/>
    <w:p w14:paraId="37C4D743" w14:textId="77777777" w:rsidR="00403B14" w:rsidRDefault="00403B14" w:rsidP="00403B14"/>
    <w:p w14:paraId="306614C8" w14:textId="7BDF42C0" w:rsidR="00403B14" w:rsidRPr="00C00160" w:rsidRDefault="00C00160">
      <w:pPr>
        <w:rPr>
          <w:b/>
          <w:bCs/>
        </w:rPr>
      </w:pPr>
      <w:r w:rsidRPr="00C00160">
        <w:rPr>
          <w:b/>
          <w:bCs/>
        </w:rPr>
        <w:t>University College London</w:t>
      </w:r>
      <w:r w:rsidR="00403B14" w:rsidRPr="00C00160">
        <w:rPr>
          <w:b/>
          <w:bCs/>
        </w:rPr>
        <w:t>.</w:t>
      </w:r>
      <w:r w:rsidRPr="00C00160">
        <w:rPr>
          <w:b/>
          <w:bCs/>
        </w:rPr>
        <w:t xml:space="preserve"> 2000. Ideology and Belief in Ancient Egypt. Digital Egypt for Universities. Available From: </w:t>
      </w:r>
      <w:hyperlink r:id="rId7" w:history="1">
        <w:r w:rsidRPr="00C00160">
          <w:rPr>
            <w:rStyle w:val="Hyperlink"/>
            <w:b/>
            <w:bCs/>
          </w:rPr>
          <w:t>https://www.ucl.ac.uk/</w:t>
        </w:r>
        <w:r w:rsidRPr="00C00160">
          <w:rPr>
            <w:rStyle w:val="Hyperlink"/>
            <w:b/>
            <w:bCs/>
          </w:rPr>
          <w:t>m</w:t>
        </w:r>
        <w:r w:rsidRPr="00C00160">
          <w:rPr>
            <w:rStyle w:val="Hyperlink"/>
            <w:b/>
            <w:bCs/>
          </w:rPr>
          <w:t>useums-static/digitalegypt/themes/beliefae.html</w:t>
        </w:r>
      </w:hyperlink>
      <w:r w:rsidRPr="00C00160">
        <w:rPr>
          <w:b/>
          <w:bCs/>
        </w:rPr>
        <w:t xml:space="preserve"> [Accessed on 4</w:t>
      </w:r>
      <w:r w:rsidRPr="00C00160">
        <w:rPr>
          <w:b/>
          <w:bCs/>
          <w:vertAlign w:val="superscript"/>
        </w:rPr>
        <w:t>th</w:t>
      </w:r>
      <w:r w:rsidRPr="00C00160">
        <w:rPr>
          <w:b/>
          <w:bCs/>
        </w:rPr>
        <w:t xml:space="preserve"> April 2020]</w:t>
      </w:r>
    </w:p>
    <w:p w14:paraId="1A909CAB" w14:textId="381667E0" w:rsidR="00403B14" w:rsidRDefault="002D3789">
      <w:r>
        <w:t xml:space="preserve">Digital </w:t>
      </w:r>
      <w:r w:rsidR="00C00160">
        <w:t xml:space="preserve">Egypt is a </w:t>
      </w:r>
      <w:r>
        <w:t xml:space="preserve">Higher Education </w:t>
      </w:r>
      <w:r w:rsidR="00C00160">
        <w:t xml:space="preserve">academic </w:t>
      </w:r>
      <w:r>
        <w:t>website created by lecture</w:t>
      </w:r>
      <w:r w:rsidR="00A064E4">
        <w:t>rs</w:t>
      </w:r>
      <w:r>
        <w:t xml:space="preserve"> of the University College of London in the early 2000s. </w:t>
      </w:r>
      <w:r w:rsidR="0070679B">
        <w:t xml:space="preserve">The </w:t>
      </w:r>
      <w:r w:rsidR="00AF7167">
        <w:t>websites</w:t>
      </w:r>
      <w:r w:rsidR="0070679B">
        <w:t xml:space="preserve"> section of Egyptian </w:t>
      </w:r>
      <w:r w:rsidR="00AF7167">
        <w:t xml:space="preserve">religion and </w:t>
      </w:r>
      <w:r w:rsidR="00A216EF">
        <w:t>beliefs</w:t>
      </w:r>
      <w:r w:rsidR="00AF7167">
        <w:t xml:space="preserve"> </w:t>
      </w:r>
      <w:r w:rsidR="000C111B">
        <w:t>is a wide database of artefacts</w:t>
      </w:r>
      <w:r w:rsidR="008A1E49">
        <w:t xml:space="preserve"> housed in the Petrie museum</w:t>
      </w:r>
      <w:r w:rsidR="000C111B">
        <w:t>, inscriptions and lectures comments</w:t>
      </w:r>
      <w:r w:rsidR="0046048A">
        <w:t xml:space="preserve"> about </w:t>
      </w:r>
      <w:r w:rsidR="00CF1E5B">
        <w:t>Egyptian Mythology and Religious beliefs from the Prehistoric era, all the way through to the Islamic conquests</w:t>
      </w:r>
      <w:r w:rsidR="008A1E49">
        <w:t>.</w:t>
      </w:r>
      <w:r w:rsidR="0046048A">
        <w:t xml:space="preserve"> The site is useful to academics due to its accessibility to a wide audience. </w:t>
      </w:r>
      <w:r w:rsidR="00CF1E5B">
        <w:t>A majority of academics</w:t>
      </w:r>
      <w:r w:rsidR="0046048A">
        <w:t xml:space="preserve"> now have access to the internet and the fact that so much information is available online, it’s easier to locate specific information quickly rather than having to source out physical copies of journals, artefacts and information.</w:t>
      </w:r>
      <w:r w:rsidR="00CF1E5B">
        <w:t xml:space="preserve"> </w:t>
      </w:r>
    </w:p>
    <w:p w14:paraId="20A71530" w14:textId="764D2606" w:rsidR="00F25E97" w:rsidRDefault="00F25E97"/>
    <w:p w14:paraId="08B8A40D" w14:textId="3260FBF0" w:rsidR="0046048A" w:rsidRDefault="0046048A">
      <w:r>
        <w:t xml:space="preserve">The website is limited in its ability to embellish deeper in some </w:t>
      </w:r>
      <w:r w:rsidR="00CF1E5B">
        <w:t>aspects</w:t>
      </w:r>
      <w:r>
        <w:t xml:space="preserve"> and topics </w:t>
      </w:r>
      <w:r w:rsidR="00CF1E5B">
        <w:t xml:space="preserve">of religious and mythological beliefs </w:t>
      </w:r>
      <w:r>
        <w:t>on the physical site</w:t>
      </w:r>
      <w:r w:rsidR="00CF1E5B">
        <w:t>. This is likely due to the dat</w:t>
      </w:r>
      <w:r w:rsidR="00A064E4">
        <w:t>a</w:t>
      </w:r>
      <w:r w:rsidR="00CF1E5B">
        <w:t xml:space="preserve"> capacity of the serve</w:t>
      </w:r>
      <w:r w:rsidR="00A064E4">
        <w:t>r</w:t>
      </w:r>
      <w:r w:rsidR="00CF1E5B">
        <w:t>s the site was created on</w:t>
      </w:r>
      <w:r w:rsidR="00B57DDD">
        <w:t>,</w:t>
      </w:r>
      <w:r w:rsidR="00CF1E5B">
        <w:t xml:space="preserve"> as it was created back in the early 2000s when computer storage was much less </w:t>
      </w:r>
      <w:r w:rsidR="00B57DDD">
        <w:t>than what we are accustomed to in the 2020s</w:t>
      </w:r>
      <w:r w:rsidR="00CF1E5B">
        <w:t xml:space="preserve">. Also, the </w:t>
      </w:r>
      <w:r w:rsidR="00B57DDD">
        <w:t>scarcity</w:t>
      </w:r>
      <w:r w:rsidR="00CF1E5B">
        <w:t xml:space="preserve"> of links taking people to online journals and articles, lowers the ability to help people further their understanding of the topic searched via the site</w:t>
      </w:r>
      <w:r w:rsidR="00B57DDD">
        <w:t xml:space="preserve">. </w:t>
      </w:r>
    </w:p>
    <w:p w14:paraId="12841F0C" w14:textId="77777777" w:rsidR="00F25E97" w:rsidRDefault="00F25E97"/>
    <w:p w14:paraId="1B965CB4" w14:textId="268346E2" w:rsidR="00400C98" w:rsidRDefault="008A1E49">
      <w:r>
        <w:t xml:space="preserve">The website itself is a useful platform as a launchpad and artefact </w:t>
      </w:r>
      <w:r w:rsidR="00400C98">
        <w:t>database for</w:t>
      </w:r>
      <w:r w:rsidR="00CF1E5B">
        <w:t xml:space="preserve"> a</w:t>
      </w:r>
      <w:r w:rsidR="00B57DDD">
        <w:t xml:space="preserve">nyone </w:t>
      </w:r>
      <w:r w:rsidR="00CF1E5B">
        <w:t>wanting to research into Egyptian religious and mythological beliefs. Despite interpretations and comments made by a collective group of academics, the lack of links to other academic works</w:t>
      </w:r>
      <w:r w:rsidR="00B57DDD">
        <w:t xml:space="preserve"> lowers the capacity for academics who would want to wider their understanding on the given topic via the site, and would have to use either other websites such as Jstore to wide</w:t>
      </w:r>
      <w:r w:rsidR="00A064E4">
        <w:t>n</w:t>
      </w:r>
      <w:r w:rsidR="00B57DDD">
        <w:t xml:space="preserve"> their reading or read physical copies of articles on the subject.</w:t>
      </w:r>
    </w:p>
    <w:p w14:paraId="41695E33" w14:textId="77777777" w:rsidR="002E3734" w:rsidRDefault="002E3734"/>
    <w:p w14:paraId="5E25630F" w14:textId="5B561BC0" w:rsidR="002E3734" w:rsidRDefault="002E3734"/>
    <w:p w14:paraId="117384C5" w14:textId="77777777" w:rsidR="002E3734" w:rsidRDefault="002E3734"/>
    <w:p w14:paraId="6FC1C9B3" w14:textId="2D19FE77" w:rsidR="00C00160" w:rsidRPr="002E3734" w:rsidRDefault="002E3734" w:rsidP="002E3734">
      <w:pPr>
        <w:rPr>
          <w:b/>
          <w:bCs/>
        </w:rPr>
      </w:pPr>
      <w:r w:rsidRPr="002E3734">
        <w:rPr>
          <w:b/>
          <w:bCs/>
        </w:rPr>
        <w:t>Velde</w:t>
      </w:r>
      <w:r w:rsidRPr="002E3734">
        <w:rPr>
          <w:b/>
          <w:bCs/>
        </w:rPr>
        <w:t xml:space="preserve">, H.T. 1968. </w:t>
      </w:r>
      <w:r w:rsidRPr="002E3734">
        <w:rPr>
          <w:b/>
          <w:bCs/>
        </w:rPr>
        <w:t>The Egyptian God Seth as a Trickster</w:t>
      </w:r>
      <w:r w:rsidRPr="002E3734">
        <w:rPr>
          <w:b/>
          <w:bCs/>
        </w:rPr>
        <w:t xml:space="preserve">. </w:t>
      </w:r>
      <w:r w:rsidRPr="002E3734">
        <w:rPr>
          <w:b/>
          <w:bCs/>
          <w:i/>
          <w:iCs/>
        </w:rPr>
        <w:t xml:space="preserve">Journal of the American Research </w:t>
      </w:r>
      <w:r w:rsidRPr="002E3734">
        <w:rPr>
          <w:b/>
          <w:bCs/>
          <w:i/>
          <w:iCs/>
        </w:rPr>
        <w:t>Centre</w:t>
      </w:r>
      <w:r w:rsidRPr="002E3734">
        <w:rPr>
          <w:b/>
          <w:bCs/>
          <w:i/>
          <w:iCs/>
        </w:rPr>
        <w:t xml:space="preserve"> in Egypt</w:t>
      </w:r>
      <w:r w:rsidRPr="002E3734">
        <w:rPr>
          <w:b/>
          <w:bCs/>
        </w:rPr>
        <w:t xml:space="preserve">. </w:t>
      </w:r>
      <w:r w:rsidRPr="002E3734">
        <w:rPr>
          <w:b/>
          <w:bCs/>
        </w:rPr>
        <w:t>Vol. 7</w:t>
      </w:r>
      <w:r w:rsidRPr="002E3734">
        <w:rPr>
          <w:b/>
          <w:bCs/>
        </w:rPr>
        <w:t xml:space="preserve">: </w:t>
      </w:r>
      <w:r w:rsidRPr="002E3734">
        <w:rPr>
          <w:b/>
          <w:bCs/>
        </w:rPr>
        <w:t>pp. 37-40</w:t>
      </w:r>
      <w:r w:rsidRPr="002E3734">
        <w:rPr>
          <w:b/>
          <w:bCs/>
        </w:rPr>
        <w:t xml:space="preserve">. </w:t>
      </w:r>
      <w:r w:rsidRPr="002E3734">
        <w:rPr>
          <w:b/>
          <w:bCs/>
        </w:rPr>
        <w:t xml:space="preserve">Published </w:t>
      </w:r>
      <w:r w:rsidR="00DC3252" w:rsidRPr="002E3734">
        <w:rPr>
          <w:b/>
          <w:bCs/>
        </w:rPr>
        <w:t>by</w:t>
      </w:r>
      <w:r w:rsidR="00DC3252">
        <w:rPr>
          <w:b/>
          <w:bCs/>
        </w:rPr>
        <w:t>:</w:t>
      </w:r>
      <w:r w:rsidRPr="002E3734">
        <w:rPr>
          <w:b/>
          <w:bCs/>
        </w:rPr>
        <w:t xml:space="preserve"> </w:t>
      </w:r>
      <w:r w:rsidR="00DC3252">
        <w:rPr>
          <w:b/>
          <w:bCs/>
        </w:rPr>
        <w:t xml:space="preserve">The </w:t>
      </w:r>
      <w:r w:rsidRPr="002E3734">
        <w:rPr>
          <w:b/>
          <w:bCs/>
        </w:rPr>
        <w:t xml:space="preserve">American Research </w:t>
      </w:r>
      <w:r w:rsidR="00AF7167" w:rsidRPr="002E3734">
        <w:rPr>
          <w:b/>
          <w:bCs/>
        </w:rPr>
        <w:t>Centre</w:t>
      </w:r>
      <w:r w:rsidRPr="002E3734">
        <w:rPr>
          <w:b/>
          <w:bCs/>
        </w:rPr>
        <w:t xml:space="preserve"> in Egypt</w:t>
      </w:r>
      <w:r w:rsidRPr="002E3734">
        <w:rPr>
          <w:b/>
          <w:bCs/>
        </w:rPr>
        <w:t>.</w:t>
      </w:r>
      <w:r w:rsidR="00A14385">
        <w:rPr>
          <w:b/>
          <w:bCs/>
        </w:rPr>
        <w:t xml:space="preserve"> </w:t>
      </w:r>
      <w:r w:rsidRPr="002E3734">
        <w:rPr>
          <w:b/>
          <w:bCs/>
        </w:rPr>
        <w:t>[</w:t>
      </w:r>
      <w:r w:rsidRPr="002E3734">
        <w:rPr>
          <w:b/>
          <w:bCs/>
        </w:rPr>
        <w:t xml:space="preserve">Accessed: </w:t>
      </w:r>
      <w:r w:rsidRPr="002E3734">
        <w:rPr>
          <w:b/>
          <w:bCs/>
        </w:rPr>
        <w:t>5</w:t>
      </w:r>
      <w:r w:rsidRPr="002E3734">
        <w:rPr>
          <w:b/>
          <w:bCs/>
          <w:vertAlign w:val="superscript"/>
        </w:rPr>
        <w:t>th</w:t>
      </w:r>
      <w:r w:rsidRPr="002E3734">
        <w:rPr>
          <w:b/>
          <w:bCs/>
        </w:rPr>
        <w:t xml:space="preserve"> April 2020]</w:t>
      </w:r>
    </w:p>
    <w:p w14:paraId="4FF01068" w14:textId="2479F0FE" w:rsidR="007464B1" w:rsidRDefault="0027125D" w:rsidP="002E3734">
      <w:r>
        <w:t>In this article, Velde assess</w:t>
      </w:r>
      <w:r w:rsidR="00A064E4">
        <w:t>es</w:t>
      </w:r>
      <w:r>
        <w:t xml:space="preserve"> the criteria set </w:t>
      </w:r>
      <w:r w:rsidR="00A91ADF">
        <w:t xml:space="preserve">out by the Dutch </w:t>
      </w:r>
      <w:r w:rsidR="00A91ADF" w:rsidRPr="00A91ADF">
        <w:t>scholar</w:t>
      </w:r>
      <w:r w:rsidR="00F57652">
        <w:t xml:space="preserve">s </w:t>
      </w:r>
      <w:r w:rsidR="00A91ADF" w:rsidRPr="00A91ADF">
        <w:t>Kristensen</w:t>
      </w:r>
      <w:r w:rsidR="00F57652">
        <w:t xml:space="preserve"> and </w:t>
      </w:r>
      <w:r w:rsidR="00F57652" w:rsidRPr="00F57652">
        <w:t>Sierksm</w:t>
      </w:r>
      <w:r w:rsidR="00F57652">
        <w:t>a</w:t>
      </w:r>
      <w:r w:rsidR="00B56970">
        <w:t xml:space="preserve"> in </w:t>
      </w:r>
      <w:r w:rsidR="009B2D9B">
        <w:t>their</w:t>
      </w:r>
      <w:r w:rsidR="00B56970">
        <w:t xml:space="preserve"> stud</w:t>
      </w:r>
      <w:r w:rsidR="00F57652">
        <w:t>ies</w:t>
      </w:r>
      <w:r w:rsidR="00B56970">
        <w:t xml:space="preserve"> on what makes a Trickster God, </w:t>
      </w:r>
      <w:r>
        <w:t xml:space="preserve">and </w:t>
      </w:r>
      <w:r w:rsidR="009A1F92">
        <w:t xml:space="preserve">to </w:t>
      </w:r>
      <w:r>
        <w:t>see if they apply to the Egyptian God Seth</w:t>
      </w:r>
      <w:r w:rsidR="00B56970">
        <w:t xml:space="preserve">. </w:t>
      </w:r>
      <w:r w:rsidR="00190109">
        <w:t>Velde concludes that although a number of trickster traits are assigned with Seth</w:t>
      </w:r>
      <w:r w:rsidR="007464B1">
        <w:t xml:space="preserve"> such as being disorderly and a slayer of monsters</w:t>
      </w:r>
      <w:r w:rsidR="00190109">
        <w:t>, h</w:t>
      </w:r>
      <w:r w:rsidR="00F57652">
        <w:t xml:space="preserve">e has a </w:t>
      </w:r>
      <w:r w:rsidR="009B2D9B">
        <w:t>stronger association</w:t>
      </w:r>
      <w:r w:rsidR="00190109">
        <w:t xml:space="preserve"> with </w:t>
      </w:r>
      <w:r w:rsidR="00F57652">
        <w:t>the ‘devil’ architype as his tricks</w:t>
      </w:r>
      <w:r w:rsidR="007464B1">
        <w:t xml:space="preserve">. </w:t>
      </w:r>
    </w:p>
    <w:p w14:paraId="1AF21770" w14:textId="77777777" w:rsidR="007464B1" w:rsidRDefault="007464B1" w:rsidP="002E3734"/>
    <w:p w14:paraId="04BFC3B6" w14:textId="62F7DD1C" w:rsidR="00FD35FF" w:rsidRDefault="007464B1" w:rsidP="00BE55B5">
      <w:r>
        <w:lastRenderedPageBreak/>
        <w:t>When understanding ancient mythologies, we tend to place deities into ‘cookie cutter’ categories such as trickster</w:t>
      </w:r>
      <w:r>
        <w:t xml:space="preserve"> </w:t>
      </w:r>
      <w:r>
        <w:t xml:space="preserve">and hence forth. However, this idea is a modern conception and </w:t>
      </w:r>
      <w:r w:rsidR="00BE55B5">
        <w:t>academics suggest that most deities</w:t>
      </w:r>
      <w:r>
        <w:t xml:space="preserve"> are more fluid, </w:t>
      </w:r>
      <w:r>
        <w:t>with s</w:t>
      </w:r>
      <w:r>
        <w:t xml:space="preserve">ome </w:t>
      </w:r>
      <w:r>
        <w:t>even being placed in more than one architype</w:t>
      </w:r>
      <w:r>
        <w:t xml:space="preserve">. </w:t>
      </w:r>
      <w:r>
        <w:t>This idea is further supported in this article, as although it shows how Seth fits into the trickster architype, it concludes with saying that there is much overlap with other roles</w:t>
      </w:r>
      <w:r w:rsidR="00BE55B5">
        <w:t xml:space="preserve">. </w:t>
      </w:r>
      <w:r w:rsidR="00D13B3C">
        <w:t xml:space="preserve">One of the </w:t>
      </w:r>
      <w:r>
        <w:t>few</w:t>
      </w:r>
      <w:r w:rsidR="00D13B3C">
        <w:t xml:space="preserve"> issues relating to the article is probably its age. Despite showing some ‘liberal’ ideals for its time such as the openness of homosexual</w:t>
      </w:r>
      <w:r w:rsidR="0069224E">
        <w:t xml:space="preserve"> deities</w:t>
      </w:r>
      <w:bookmarkStart w:id="0" w:name="_GoBack"/>
      <w:bookmarkEnd w:id="0"/>
      <w:r>
        <w:t xml:space="preserve"> </w:t>
      </w:r>
      <w:r w:rsidR="00D13B3C">
        <w:t xml:space="preserve">(especially during the 60s), the articles age does put it with some limitations due to recent findings and new interpretations of the mythology surrounding </w:t>
      </w:r>
      <w:r>
        <w:t>Se</w:t>
      </w:r>
      <w:r w:rsidR="00D13B3C">
        <w:t>th.</w:t>
      </w:r>
      <w:r w:rsidR="00BE55B5">
        <w:t xml:space="preserve"> </w:t>
      </w:r>
      <w:r w:rsidR="00D13B3C">
        <w:t xml:space="preserve">This article, despite its age, </w:t>
      </w:r>
      <w:r>
        <w:t>is a useful source and interpretation</w:t>
      </w:r>
      <w:r w:rsidR="00BE55B5">
        <w:t xml:space="preserve"> for academics, on</w:t>
      </w:r>
      <w:r>
        <w:t xml:space="preserve"> how the Egyptians may have viewed </w:t>
      </w:r>
      <w:r w:rsidR="00BE55B5">
        <w:t>Se</w:t>
      </w:r>
      <w:r>
        <w:t>th</w:t>
      </w:r>
      <w:r w:rsidR="00BE55B5">
        <w:t xml:space="preserve"> and his role within the Egyptian pantheon</w:t>
      </w:r>
      <w:r>
        <w:t xml:space="preserve">, but also </w:t>
      </w:r>
      <w:r w:rsidR="00BE55B5">
        <w:t>on how they viewed the roles of other Gods within that pantheon.</w:t>
      </w:r>
    </w:p>
    <w:sectPr w:rsidR="00FD35FF" w:rsidSect="00ED54D4">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3F827D" w14:textId="77777777" w:rsidR="002A4F4D" w:rsidRDefault="002A4F4D" w:rsidP="001A2B4B">
      <w:r>
        <w:separator/>
      </w:r>
    </w:p>
  </w:endnote>
  <w:endnote w:type="continuationSeparator" w:id="0">
    <w:p w14:paraId="41B4CBAF" w14:textId="77777777" w:rsidR="002A4F4D" w:rsidRDefault="002A4F4D" w:rsidP="001A2B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E07125" w14:textId="77777777" w:rsidR="002A4F4D" w:rsidRDefault="002A4F4D" w:rsidP="001A2B4B">
      <w:r>
        <w:separator/>
      </w:r>
    </w:p>
  </w:footnote>
  <w:footnote w:type="continuationSeparator" w:id="0">
    <w:p w14:paraId="66409711" w14:textId="77777777" w:rsidR="002A4F4D" w:rsidRDefault="002A4F4D" w:rsidP="001A2B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E435C1" w14:textId="708F8946" w:rsidR="001A2B4B" w:rsidRDefault="001A2B4B">
    <w:pPr>
      <w:pStyle w:val="Header"/>
    </w:pPr>
    <w:r w:rsidRPr="00A638DF">
      <w:t xml:space="preserve">Clements_1902715_Bloc 6_Portfolio Part </w:t>
    </w:r>
    <w:proofErr w:type="spellStart"/>
    <w:r>
      <w:t>Two_Annotated</w:t>
    </w:r>
    <w:proofErr w:type="spellEnd"/>
    <w:r>
      <w:t xml:space="preserve"> </w:t>
    </w:r>
    <w:proofErr w:type="spellStart"/>
    <w:r>
      <w:t>Bibliography</w:t>
    </w:r>
    <w:r w:rsidR="00877AB1">
      <w:t>_Egyptian</w:t>
    </w:r>
    <w:proofErr w:type="spellEnd"/>
    <w:r w:rsidR="00877AB1">
      <w:t xml:space="preserve"> Mythology/Religion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317A1"/>
    <w:multiLevelType w:val="hybridMultilevel"/>
    <w:tmpl w:val="517C6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09"/>
    <w:rsid w:val="00022C4C"/>
    <w:rsid w:val="000A32A2"/>
    <w:rsid w:val="000C111B"/>
    <w:rsid w:val="000C2C3F"/>
    <w:rsid w:val="00136349"/>
    <w:rsid w:val="00150482"/>
    <w:rsid w:val="0016032B"/>
    <w:rsid w:val="00190109"/>
    <w:rsid w:val="00197009"/>
    <w:rsid w:val="001A2B4B"/>
    <w:rsid w:val="0027125D"/>
    <w:rsid w:val="0028754E"/>
    <w:rsid w:val="002A4F4D"/>
    <w:rsid w:val="002D3789"/>
    <w:rsid w:val="002E3734"/>
    <w:rsid w:val="002F0077"/>
    <w:rsid w:val="003A4850"/>
    <w:rsid w:val="00400C98"/>
    <w:rsid w:val="00401D79"/>
    <w:rsid w:val="00403B14"/>
    <w:rsid w:val="00416A24"/>
    <w:rsid w:val="0046048A"/>
    <w:rsid w:val="005158EC"/>
    <w:rsid w:val="00573E9F"/>
    <w:rsid w:val="00632E8A"/>
    <w:rsid w:val="0069224E"/>
    <w:rsid w:val="00696889"/>
    <w:rsid w:val="00703672"/>
    <w:rsid w:val="0070679B"/>
    <w:rsid w:val="0072095C"/>
    <w:rsid w:val="007464B1"/>
    <w:rsid w:val="00755B7B"/>
    <w:rsid w:val="007668E3"/>
    <w:rsid w:val="007C0865"/>
    <w:rsid w:val="00805829"/>
    <w:rsid w:val="00870951"/>
    <w:rsid w:val="00877AB1"/>
    <w:rsid w:val="008A1E49"/>
    <w:rsid w:val="008B5AF2"/>
    <w:rsid w:val="008E73E8"/>
    <w:rsid w:val="009028FE"/>
    <w:rsid w:val="009A1F92"/>
    <w:rsid w:val="009B2D9B"/>
    <w:rsid w:val="009F1A16"/>
    <w:rsid w:val="00A064E4"/>
    <w:rsid w:val="00A14385"/>
    <w:rsid w:val="00A216EF"/>
    <w:rsid w:val="00A24439"/>
    <w:rsid w:val="00A91ADF"/>
    <w:rsid w:val="00AA3A1B"/>
    <w:rsid w:val="00AF7167"/>
    <w:rsid w:val="00B07DDD"/>
    <w:rsid w:val="00B33EA3"/>
    <w:rsid w:val="00B56970"/>
    <w:rsid w:val="00B57DDD"/>
    <w:rsid w:val="00BE55B5"/>
    <w:rsid w:val="00C00160"/>
    <w:rsid w:val="00C61A22"/>
    <w:rsid w:val="00CB372F"/>
    <w:rsid w:val="00CF1E5B"/>
    <w:rsid w:val="00D13B3C"/>
    <w:rsid w:val="00D36381"/>
    <w:rsid w:val="00DC3252"/>
    <w:rsid w:val="00DD6E79"/>
    <w:rsid w:val="00E134F4"/>
    <w:rsid w:val="00E7782C"/>
    <w:rsid w:val="00ED03CD"/>
    <w:rsid w:val="00ED54D4"/>
    <w:rsid w:val="00EE08F8"/>
    <w:rsid w:val="00F25E97"/>
    <w:rsid w:val="00F57652"/>
    <w:rsid w:val="00F84516"/>
    <w:rsid w:val="00FD35FF"/>
    <w:rsid w:val="00FF33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14CA22"/>
  <w14:defaultImageDpi w14:val="32767"/>
  <w15:chartTrackingRefBased/>
  <w15:docId w15:val="{9A4A360C-9909-BD41-BC4C-39AFFCD71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2B4B"/>
    <w:pPr>
      <w:tabs>
        <w:tab w:val="center" w:pos="4680"/>
        <w:tab w:val="right" w:pos="9360"/>
      </w:tabs>
    </w:pPr>
  </w:style>
  <w:style w:type="character" w:customStyle="1" w:styleId="HeaderChar">
    <w:name w:val="Header Char"/>
    <w:basedOn w:val="DefaultParagraphFont"/>
    <w:link w:val="Header"/>
    <w:uiPriority w:val="99"/>
    <w:rsid w:val="001A2B4B"/>
    <w:rPr>
      <w:lang w:val="en-GB"/>
    </w:rPr>
  </w:style>
  <w:style w:type="paragraph" w:styleId="Footer">
    <w:name w:val="footer"/>
    <w:basedOn w:val="Normal"/>
    <w:link w:val="FooterChar"/>
    <w:uiPriority w:val="99"/>
    <w:unhideWhenUsed/>
    <w:rsid w:val="001A2B4B"/>
    <w:pPr>
      <w:tabs>
        <w:tab w:val="center" w:pos="4680"/>
        <w:tab w:val="right" w:pos="9360"/>
      </w:tabs>
    </w:pPr>
  </w:style>
  <w:style w:type="character" w:customStyle="1" w:styleId="FooterChar">
    <w:name w:val="Footer Char"/>
    <w:basedOn w:val="DefaultParagraphFont"/>
    <w:link w:val="Footer"/>
    <w:uiPriority w:val="99"/>
    <w:rsid w:val="001A2B4B"/>
    <w:rPr>
      <w:lang w:val="en-GB"/>
    </w:rPr>
  </w:style>
  <w:style w:type="paragraph" w:styleId="ListParagraph">
    <w:name w:val="List Paragraph"/>
    <w:basedOn w:val="Normal"/>
    <w:uiPriority w:val="34"/>
    <w:qFormat/>
    <w:rsid w:val="00FD35FF"/>
    <w:pPr>
      <w:ind w:left="720"/>
      <w:contextualSpacing/>
    </w:pPr>
  </w:style>
  <w:style w:type="character" w:styleId="Hyperlink">
    <w:name w:val="Hyperlink"/>
    <w:basedOn w:val="DefaultParagraphFont"/>
    <w:uiPriority w:val="99"/>
    <w:unhideWhenUsed/>
    <w:rsid w:val="00403B14"/>
    <w:rPr>
      <w:color w:val="0563C1" w:themeColor="hyperlink"/>
      <w:u w:val="single"/>
    </w:rPr>
  </w:style>
  <w:style w:type="character" w:styleId="UnresolvedMention">
    <w:name w:val="Unresolved Mention"/>
    <w:basedOn w:val="DefaultParagraphFont"/>
    <w:uiPriority w:val="99"/>
    <w:rsid w:val="00403B14"/>
    <w:rPr>
      <w:color w:val="605E5C"/>
      <w:shd w:val="clear" w:color="auto" w:fill="E1DFDD"/>
    </w:rPr>
  </w:style>
  <w:style w:type="character" w:styleId="FollowedHyperlink">
    <w:name w:val="FollowedHyperlink"/>
    <w:basedOn w:val="DefaultParagraphFont"/>
    <w:uiPriority w:val="99"/>
    <w:semiHidden/>
    <w:unhideWhenUsed/>
    <w:rsid w:val="00C001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013232">
      <w:bodyDiv w:val="1"/>
      <w:marLeft w:val="0"/>
      <w:marRight w:val="0"/>
      <w:marTop w:val="0"/>
      <w:marBottom w:val="0"/>
      <w:divBdr>
        <w:top w:val="none" w:sz="0" w:space="0" w:color="auto"/>
        <w:left w:val="none" w:sz="0" w:space="0" w:color="auto"/>
        <w:bottom w:val="none" w:sz="0" w:space="0" w:color="auto"/>
        <w:right w:val="none" w:sz="0" w:space="0" w:color="auto"/>
      </w:divBdr>
      <w:divsChild>
        <w:div w:id="1663192843">
          <w:marLeft w:val="0"/>
          <w:marRight w:val="0"/>
          <w:marTop w:val="0"/>
          <w:marBottom w:val="0"/>
          <w:divBdr>
            <w:top w:val="none" w:sz="0" w:space="0" w:color="auto"/>
            <w:left w:val="none" w:sz="0" w:space="0" w:color="auto"/>
            <w:bottom w:val="none" w:sz="0" w:space="0" w:color="auto"/>
            <w:right w:val="none" w:sz="0" w:space="0" w:color="auto"/>
          </w:divBdr>
          <w:divsChild>
            <w:div w:id="1541162215">
              <w:marLeft w:val="0"/>
              <w:marRight w:val="0"/>
              <w:marTop w:val="0"/>
              <w:marBottom w:val="0"/>
              <w:divBdr>
                <w:top w:val="none" w:sz="0" w:space="0" w:color="auto"/>
                <w:left w:val="none" w:sz="0" w:space="0" w:color="auto"/>
                <w:bottom w:val="none" w:sz="0" w:space="0" w:color="auto"/>
                <w:right w:val="none" w:sz="0" w:space="0" w:color="auto"/>
              </w:divBdr>
              <w:divsChild>
                <w:div w:id="151264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792487">
      <w:bodyDiv w:val="1"/>
      <w:marLeft w:val="0"/>
      <w:marRight w:val="0"/>
      <w:marTop w:val="0"/>
      <w:marBottom w:val="0"/>
      <w:divBdr>
        <w:top w:val="none" w:sz="0" w:space="0" w:color="auto"/>
        <w:left w:val="none" w:sz="0" w:space="0" w:color="auto"/>
        <w:bottom w:val="none" w:sz="0" w:space="0" w:color="auto"/>
        <w:right w:val="none" w:sz="0" w:space="0" w:color="auto"/>
      </w:divBdr>
      <w:divsChild>
        <w:div w:id="1761215038">
          <w:marLeft w:val="0"/>
          <w:marRight w:val="0"/>
          <w:marTop w:val="0"/>
          <w:marBottom w:val="0"/>
          <w:divBdr>
            <w:top w:val="none" w:sz="0" w:space="0" w:color="auto"/>
            <w:left w:val="none" w:sz="0" w:space="0" w:color="auto"/>
            <w:bottom w:val="none" w:sz="0" w:space="0" w:color="auto"/>
            <w:right w:val="none" w:sz="0" w:space="0" w:color="auto"/>
          </w:divBdr>
          <w:divsChild>
            <w:div w:id="114059811">
              <w:marLeft w:val="0"/>
              <w:marRight w:val="0"/>
              <w:marTop w:val="0"/>
              <w:marBottom w:val="0"/>
              <w:divBdr>
                <w:top w:val="none" w:sz="0" w:space="0" w:color="auto"/>
                <w:left w:val="none" w:sz="0" w:space="0" w:color="auto"/>
                <w:bottom w:val="none" w:sz="0" w:space="0" w:color="auto"/>
                <w:right w:val="none" w:sz="0" w:space="0" w:color="auto"/>
              </w:divBdr>
              <w:divsChild>
                <w:div w:id="118655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274525">
      <w:bodyDiv w:val="1"/>
      <w:marLeft w:val="0"/>
      <w:marRight w:val="0"/>
      <w:marTop w:val="0"/>
      <w:marBottom w:val="0"/>
      <w:divBdr>
        <w:top w:val="none" w:sz="0" w:space="0" w:color="auto"/>
        <w:left w:val="none" w:sz="0" w:space="0" w:color="auto"/>
        <w:bottom w:val="none" w:sz="0" w:space="0" w:color="auto"/>
        <w:right w:val="none" w:sz="0" w:space="0" w:color="auto"/>
      </w:divBdr>
      <w:divsChild>
        <w:div w:id="1550921855">
          <w:marLeft w:val="0"/>
          <w:marRight w:val="0"/>
          <w:marTop w:val="0"/>
          <w:marBottom w:val="0"/>
          <w:divBdr>
            <w:top w:val="none" w:sz="0" w:space="0" w:color="auto"/>
            <w:left w:val="none" w:sz="0" w:space="0" w:color="auto"/>
            <w:bottom w:val="none" w:sz="0" w:space="0" w:color="auto"/>
            <w:right w:val="none" w:sz="0" w:space="0" w:color="auto"/>
          </w:divBdr>
          <w:divsChild>
            <w:div w:id="59059516">
              <w:marLeft w:val="0"/>
              <w:marRight w:val="0"/>
              <w:marTop w:val="0"/>
              <w:marBottom w:val="0"/>
              <w:divBdr>
                <w:top w:val="none" w:sz="0" w:space="0" w:color="auto"/>
                <w:left w:val="none" w:sz="0" w:space="0" w:color="auto"/>
                <w:bottom w:val="none" w:sz="0" w:space="0" w:color="auto"/>
                <w:right w:val="none" w:sz="0" w:space="0" w:color="auto"/>
              </w:divBdr>
              <w:divsChild>
                <w:div w:id="119854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870264">
      <w:bodyDiv w:val="1"/>
      <w:marLeft w:val="0"/>
      <w:marRight w:val="0"/>
      <w:marTop w:val="0"/>
      <w:marBottom w:val="0"/>
      <w:divBdr>
        <w:top w:val="none" w:sz="0" w:space="0" w:color="auto"/>
        <w:left w:val="none" w:sz="0" w:space="0" w:color="auto"/>
        <w:bottom w:val="none" w:sz="0" w:space="0" w:color="auto"/>
        <w:right w:val="none" w:sz="0" w:space="0" w:color="auto"/>
      </w:divBdr>
      <w:divsChild>
        <w:div w:id="94059645">
          <w:marLeft w:val="0"/>
          <w:marRight w:val="0"/>
          <w:marTop w:val="0"/>
          <w:marBottom w:val="0"/>
          <w:divBdr>
            <w:top w:val="none" w:sz="0" w:space="0" w:color="auto"/>
            <w:left w:val="none" w:sz="0" w:space="0" w:color="auto"/>
            <w:bottom w:val="none" w:sz="0" w:space="0" w:color="auto"/>
            <w:right w:val="none" w:sz="0" w:space="0" w:color="auto"/>
          </w:divBdr>
          <w:divsChild>
            <w:div w:id="281495280">
              <w:marLeft w:val="0"/>
              <w:marRight w:val="0"/>
              <w:marTop w:val="0"/>
              <w:marBottom w:val="0"/>
              <w:divBdr>
                <w:top w:val="none" w:sz="0" w:space="0" w:color="auto"/>
                <w:left w:val="none" w:sz="0" w:space="0" w:color="auto"/>
                <w:bottom w:val="none" w:sz="0" w:space="0" w:color="auto"/>
                <w:right w:val="none" w:sz="0" w:space="0" w:color="auto"/>
              </w:divBdr>
              <w:divsChild>
                <w:div w:id="60203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235865">
      <w:bodyDiv w:val="1"/>
      <w:marLeft w:val="0"/>
      <w:marRight w:val="0"/>
      <w:marTop w:val="0"/>
      <w:marBottom w:val="0"/>
      <w:divBdr>
        <w:top w:val="none" w:sz="0" w:space="0" w:color="auto"/>
        <w:left w:val="none" w:sz="0" w:space="0" w:color="auto"/>
        <w:bottom w:val="none" w:sz="0" w:space="0" w:color="auto"/>
        <w:right w:val="none" w:sz="0" w:space="0" w:color="auto"/>
      </w:divBdr>
      <w:divsChild>
        <w:div w:id="1623686033">
          <w:marLeft w:val="0"/>
          <w:marRight w:val="0"/>
          <w:marTop w:val="0"/>
          <w:marBottom w:val="0"/>
          <w:divBdr>
            <w:top w:val="none" w:sz="0" w:space="0" w:color="auto"/>
            <w:left w:val="none" w:sz="0" w:space="0" w:color="auto"/>
            <w:bottom w:val="none" w:sz="0" w:space="0" w:color="auto"/>
            <w:right w:val="none" w:sz="0" w:space="0" w:color="auto"/>
          </w:divBdr>
          <w:divsChild>
            <w:div w:id="393969031">
              <w:marLeft w:val="0"/>
              <w:marRight w:val="0"/>
              <w:marTop w:val="0"/>
              <w:marBottom w:val="0"/>
              <w:divBdr>
                <w:top w:val="none" w:sz="0" w:space="0" w:color="auto"/>
                <w:left w:val="none" w:sz="0" w:space="0" w:color="auto"/>
                <w:bottom w:val="none" w:sz="0" w:space="0" w:color="auto"/>
                <w:right w:val="none" w:sz="0" w:space="0" w:color="auto"/>
              </w:divBdr>
              <w:divsChild>
                <w:div w:id="12158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466140">
      <w:bodyDiv w:val="1"/>
      <w:marLeft w:val="0"/>
      <w:marRight w:val="0"/>
      <w:marTop w:val="0"/>
      <w:marBottom w:val="0"/>
      <w:divBdr>
        <w:top w:val="none" w:sz="0" w:space="0" w:color="auto"/>
        <w:left w:val="none" w:sz="0" w:space="0" w:color="auto"/>
        <w:bottom w:val="none" w:sz="0" w:space="0" w:color="auto"/>
        <w:right w:val="none" w:sz="0" w:space="0" w:color="auto"/>
      </w:divBdr>
      <w:divsChild>
        <w:div w:id="1617835153">
          <w:marLeft w:val="0"/>
          <w:marRight w:val="0"/>
          <w:marTop w:val="0"/>
          <w:marBottom w:val="0"/>
          <w:divBdr>
            <w:top w:val="none" w:sz="0" w:space="0" w:color="auto"/>
            <w:left w:val="none" w:sz="0" w:space="0" w:color="auto"/>
            <w:bottom w:val="none" w:sz="0" w:space="0" w:color="auto"/>
            <w:right w:val="none" w:sz="0" w:space="0" w:color="auto"/>
          </w:divBdr>
          <w:divsChild>
            <w:div w:id="1938556781">
              <w:marLeft w:val="0"/>
              <w:marRight w:val="0"/>
              <w:marTop w:val="0"/>
              <w:marBottom w:val="0"/>
              <w:divBdr>
                <w:top w:val="none" w:sz="0" w:space="0" w:color="auto"/>
                <w:left w:val="none" w:sz="0" w:space="0" w:color="auto"/>
                <w:bottom w:val="none" w:sz="0" w:space="0" w:color="auto"/>
                <w:right w:val="none" w:sz="0" w:space="0" w:color="auto"/>
              </w:divBdr>
              <w:divsChild>
                <w:div w:id="43525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127883">
      <w:bodyDiv w:val="1"/>
      <w:marLeft w:val="0"/>
      <w:marRight w:val="0"/>
      <w:marTop w:val="0"/>
      <w:marBottom w:val="0"/>
      <w:divBdr>
        <w:top w:val="none" w:sz="0" w:space="0" w:color="auto"/>
        <w:left w:val="none" w:sz="0" w:space="0" w:color="auto"/>
        <w:bottom w:val="none" w:sz="0" w:space="0" w:color="auto"/>
        <w:right w:val="none" w:sz="0" w:space="0" w:color="auto"/>
      </w:divBdr>
      <w:divsChild>
        <w:div w:id="1351025382">
          <w:marLeft w:val="0"/>
          <w:marRight w:val="0"/>
          <w:marTop w:val="0"/>
          <w:marBottom w:val="0"/>
          <w:divBdr>
            <w:top w:val="none" w:sz="0" w:space="0" w:color="auto"/>
            <w:left w:val="none" w:sz="0" w:space="0" w:color="auto"/>
            <w:bottom w:val="none" w:sz="0" w:space="0" w:color="auto"/>
            <w:right w:val="none" w:sz="0" w:space="0" w:color="auto"/>
          </w:divBdr>
          <w:divsChild>
            <w:div w:id="1552575351">
              <w:marLeft w:val="0"/>
              <w:marRight w:val="0"/>
              <w:marTop w:val="0"/>
              <w:marBottom w:val="0"/>
              <w:divBdr>
                <w:top w:val="none" w:sz="0" w:space="0" w:color="auto"/>
                <w:left w:val="none" w:sz="0" w:space="0" w:color="auto"/>
                <w:bottom w:val="none" w:sz="0" w:space="0" w:color="auto"/>
                <w:right w:val="none" w:sz="0" w:space="0" w:color="auto"/>
              </w:divBdr>
              <w:divsChild>
                <w:div w:id="64061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698666">
      <w:bodyDiv w:val="1"/>
      <w:marLeft w:val="0"/>
      <w:marRight w:val="0"/>
      <w:marTop w:val="0"/>
      <w:marBottom w:val="0"/>
      <w:divBdr>
        <w:top w:val="none" w:sz="0" w:space="0" w:color="auto"/>
        <w:left w:val="none" w:sz="0" w:space="0" w:color="auto"/>
        <w:bottom w:val="none" w:sz="0" w:space="0" w:color="auto"/>
        <w:right w:val="none" w:sz="0" w:space="0" w:color="auto"/>
      </w:divBdr>
      <w:divsChild>
        <w:div w:id="1879199882">
          <w:marLeft w:val="0"/>
          <w:marRight w:val="0"/>
          <w:marTop w:val="0"/>
          <w:marBottom w:val="0"/>
          <w:divBdr>
            <w:top w:val="none" w:sz="0" w:space="0" w:color="auto"/>
            <w:left w:val="none" w:sz="0" w:space="0" w:color="auto"/>
            <w:bottom w:val="none" w:sz="0" w:space="0" w:color="auto"/>
            <w:right w:val="none" w:sz="0" w:space="0" w:color="auto"/>
          </w:divBdr>
          <w:divsChild>
            <w:div w:id="812067516">
              <w:marLeft w:val="0"/>
              <w:marRight w:val="0"/>
              <w:marTop w:val="0"/>
              <w:marBottom w:val="0"/>
              <w:divBdr>
                <w:top w:val="none" w:sz="0" w:space="0" w:color="auto"/>
                <w:left w:val="none" w:sz="0" w:space="0" w:color="auto"/>
                <w:bottom w:val="none" w:sz="0" w:space="0" w:color="auto"/>
                <w:right w:val="none" w:sz="0" w:space="0" w:color="auto"/>
              </w:divBdr>
              <w:divsChild>
                <w:div w:id="187427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777597">
      <w:bodyDiv w:val="1"/>
      <w:marLeft w:val="0"/>
      <w:marRight w:val="0"/>
      <w:marTop w:val="0"/>
      <w:marBottom w:val="0"/>
      <w:divBdr>
        <w:top w:val="none" w:sz="0" w:space="0" w:color="auto"/>
        <w:left w:val="none" w:sz="0" w:space="0" w:color="auto"/>
        <w:bottom w:val="none" w:sz="0" w:space="0" w:color="auto"/>
        <w:right w:val="none" w:sz="0" w:space="0" w:color="auto"/>
      </w:divBdr>
      <w:divsChild>
        <w:div w:id="1635795674">
          <w:marLeft w:val="0"/>
          <w:marRight w:val="0"/>
          <w:marTop w:val="0"/>
          <w:marBottom w:val="0"/>
          <w:divBdr>
            <w:top w:val="none" w:sz="0" w:space="0" w:color="auto"/>
            <w:left w:val="none" w:sz="0" w:space="0" w:color="auto"/>
            <w:bottom w:val="none" w:sz="0" w:space="0" w:color="auto"/>
            <w:right w:val="none" w:sz="0" w:space="0" w:color="auto"/>
          </w:divBdr>
          <w:divsChild>
            <w:div w:id="1026490831">
              <w:marLeft w:val="0"/>
              <w:marRight w:val="0"/>
              <w:marTop w:val="0"/>
              <w:marBottom w:val="0"/>
              <w:divBdr>
                <w:top w:val="none" w:sz="0" w:space="0" w:color="auto"/>
                <w:left w:val="none" w:sz="0" w:space="0" w:color="auto"/>
                <w:bottom w:val="none" w:sz="0" w:space="0" w:color="auto"/>
                <w:right w:val="none" w:sz="0" w:space="0" w:color="auto"/>
              </w:divBdr>
              <w:divsChild>
                <w:div w:id="120497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764716">
      <w:bodyDiv w:val="1"/>
      <w:marLeft w:val="0"/>
      <w:marRight w:val="0"/>
      <w:marTop w:val="0"/>
      <w:marBottom w:val="0"/>
      <w:divBdr>
        <w:top w:val="none" w:sz="0" w:space="0" w:color="auto"/>
        <w:left w:val="none" w:sz="0" w:space="0" w:color="auto"/>
        <w:bottom w:val="none" w:sz="0" w:space="0" w:color="auto"/>
        <w:right w:val="none" w:sz="0" w:space="0" w:color="auto"/>
      </w:divBdr>
      <w:divsChild>
        <w:div w:id="567574242">
          <w:marLeft w:val="0"/>
          <w:marRight w:val="0"/>
          <w:marTop w:val="0"/>
          <w:marBottom w:val="0"/>
          <w:divBdr>
            <w:top w:val="none" w:sz="0" w:space="0" w:color="auto"/>
            <w:left w:val="none" w:sz="0" w:space="0" w:color="auto"/>
            <w:bottom w:val="none" w:sz="0" w:space="0" w:color="auto"/>
            <w:right w:val="none" w:sz="0" w:space="0" w:color="auto"/>
          </w:divBdr>
          <w:divsChild>
            <w:div w:id="1196457016">
              <w:marLeft w:val="0"/>
              <w:marRight w:val="0"/>
              <w:marTop w:val="0"/>
              <w:marBottom w:val="0"/>
              <w:divBdr>
                <w:top w:val="none" w:sz="0" w:space="0" w:color="auto"/>
                <w:left w:val="none" w:sz="0" w:space="0" w:color="auto"/>
                <w:bottom w:val="none" w:sz="0" w:space="0" w:color="auto"/>
                <w:right w:val="none" w:sz="0" w:space="0" w:color="auto"/>
              </w:divBdr>
              <w:divsChild>
                <w:div w:id="101195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960243">
      <w:bodyDiv w:val="1"/>
      <w:marLeft w:val="0"/>
      <w:marRight w:val="0"/>
      <w:marTop w:val="0"/>
      <w:marBottom w:val="0"/>
      <w:divBdr>
        <w:top w:val="none" w:sz="0" w:space="0" w:color="auto"/>
        <w:left w:val="none" w:sz="0" w:space="0" w:color="auto"/>
        <w:bottom w:val="none" w:sz="0" w:space="0" w:color="auto"/>
        <w:right w:val="none" w:sz="0" w:space="0" w:color="auto"/>
      </w:divBdr>
    </w:div>
    <w:div w:id="1459379307">
      <w:bodyDiv w:val="1"/>
      <w:marLeft w:val="0"/>
      <w:marRight w:val="0"/>
      <w:marTop w:val="0"/>
      <w:marBottom w:val="0"/>
      <w:divBdr>
        <w:top w:val="none" w:sz="0" w:space="0" w:color="auto"/>
        <w:left w:val="none" w:sz="0" w:space="0" w:color="auto"/>
        <w:bottom w:val="none" w:sz="0" w:space="0" w:color="auto"/>
        <w:right w:val="none" w:sz="0" w:space="0" w:color="auto"/>
      </w:divBdr>
      <w:divsChild>
        <w:div w:id="994453629">
          <w:marLeft w:val="0"/>
          <w:marRight w:val="0"/>
          <w:marTop w:val="0"/>
          <w:marBottom w:val="0"/>
          <w:divBdr>
            <w:top w:val="none" w:sz="0" w:space="0" w:color="auto"/>
            <w:left w:val="none" w:sz="0" w:space="0" w:color="auto"/>
            <w:bottom w:val="none" w:sz="0" w:space="0" w:color="auto"/>
            <w:right w:val="none" w:sz="0" w:space="0" w:color="auto"/>
          </w:divBdr>
          <w:divsChild>
            <w:div w:id="185291767">
              <w:marLeft w:val="0"/>
              <w:marRight w:val="0"/>
              <w:marTop w:val="0"/>
              <w:marBottom w:val="0"/>
              <w:divBdr>
                <w:top w:val="none" w:sz="0" w:space="0" w:color="auto"/>
                <w:left w:val="none" w:sz="0" w:space="0" w:color="auto"/>
                <w:bottom w:val="none" w:sz="0" w:space="0" w:color="auto"/>
                <w:right w:val="none" w:sz="0" w:space="0" w:color="auto"/>
              </w:divBdr>
              <w:divsChild>
                <w:div w:id="38950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241734">
      <w:bodyDiv w:val="1"/>
      <w:marLeft w:val="0"/>
      <w:marRight w:val="0"/>
      <w:marTop w:val="0"/>
      <w:marBottom w:val="0"/>
      <w:divBdr>
        <w:top w:val="none" w:sz="0" w:space="0" w:color="auto"/>
        <w:left w:val="none" w:sz="0" w:space="0" w:color="auto"/>
        <w:bottom w:val="none" w:sz="0" w:space="0" w:color="auto"/>
        <w:right w:val="none" w:sz="0" w:space="0" w:color="auto"/>
      </w:divBdr>
      <w:divsChild>
        <w:div w:id="899752227">
          <w:marLeft w:val="0"/>
          <w:marRight w:val="0"/>
          <w:marTop w:val="0"/>
          <w:marBottom w:val="0"/>
          <w:divBdr>
            <w:top w:val="none" w:sz="0" w:space="0" w:color="auto"/>
            <w:left w:val="none" w:sz="0" w:space="0" w:color="auto"/>
            <w:bottom w:val="none" w:sz="0" w:space="0" w:color="auto"/>
            <w:right w:val="none" w:sz="0" w:space="0" w:color="auto"/>
          </w:divBdr>
          <w:divsChild>
            <w:div w:id="523860708">
              <w:marLeft w:val="0"/>
              <w:marRight w:val="0"/>
              <w:marTop w:val="0"/>
              <w:marBottom w:val="0"/>
              <w:divBdr>
                <w:top w:val="none" w:sz="0" w:space="0" w:color="auto"/>
                <w:left w:val="none" w:sz="0" w:space="0" w:color="auto"/>
                <w:bottom w:val="none" w:sz="0" w:space="0" w:color="auto"/>
                <w:right w:val="none" w:sz="0" w:space="0" w:color="auto"/>
              </w:divBdr>
              <w:divsChild>
                <w:div w:id="133426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593135">
      <w:bodyDiv w:val="1"/>
      <w:marLeft w:val="0"/>
      <w:marRight w:val="0"/>
      <w:marTop w:val="0"/>
      <w:marBottom w:val="0"/>
      <w:divBdr>
        <w:top w:val="none" w:sz="0" w:space="0" w:color="auto"/>
        <w:left w:val="none" w:sz="0" w:space="0" w:color="auto"/>
        <w:bottom w:val="none" w:sz="0" w:space="0" w:color="auto"/>
        <w:right w:val="none" w:sz="0" w:space="0" w:color="auto"/>
      </w:divBdr>
      <w:divsChild>
        <w:div w:id="1660231361">
          <w:marLeft w:val="0"/>
          <w:marRight w:val="0"/>
          <w:marTop w:val="0"/>
          <w:marBottom w:val="0"/>
          <w:divBdr>
            <w:top w:val="none" w:sz="0" w:space="0" w:color="auto"/>
            <w:left w:val="none" w:sz="0" w:space="0" w:color="auto"/>
            <w:bottom w:val="none" w:sz="0" w:space="0" w:color="auto"/>
            <w:right w:val="none" w:sz="0" w:space="0" w:color="auto"/>
          </w:divBdr>
          <w:divsChild>
            <w:div w:id="1371999409">
              <w:marLeft w:val="0"/>
              <w:marRight w:val="0"/>
              <w:marTop w:val="0"/>
              <w:marBottom w:val="0"/>
              <w:divBdr>
                <w:top w:val="none" w:sz="0" w:space="0" w:color="auto"/>
                <w:left w:val="none" w:sz="0" w:space="0" w:color="auto"/>
                <w:bottom w:val="none" w:sz="0" w:space="0" w:color="auto"/>
                <w:right w:val="none" w:sz="0" w:space="0" w:color="auto"/>
              </w:divBdr>
              <w:divsChild>
                <w:div w:id="20259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914632">
      <w:bodyDiv w:val="1"/>
      <w:marLeft w:val="0"/>
      <w:marRight w:val="0"/>
      <w:marTop w:val="0"/>
      <w:marBottom w:val="0"/>
      <w:divBdr>
        <w:top w:val="none" w:sz="0" w:space="0" w:color="auto"/>
        <w:left w:val="none" w:sz="0" w:space="0" w:color="auto"/>
        <w:bottom w:val="none" w:sz="0" w:space="0" w:color="auto"/>
        <w:right w:val="none" w:sz="0" w:space="0" w:color="auto"/>
      </w:divBdr>
      <w:divsChild>
        <w:div w:id="1356928965">
          <w:marLeft w:val="0"/>
          <w:marRight w:val="0"/>
          <w:marTop w:val="0"/>
          <w:marBottom w:val="0"/>
          <w:divBdr>
            <w:top w:val="none" w:sz="0" w:space="0" w:color="auto"/>
            <w:left w:val="none" w:sz="0" w:space="0" w:color="auto"/>
            <w:bottom w:val="none" w:sz="0" w:space="0" w:color="auto"/>
            <w:right w:val="none" w:sz="0" w:space="0" w:color="auto"/>
          </w:divBdr>
          <w:divsChild>
            <w:div w:id="208616804">
              <w:marLeft w:val="0"/>
              <w:marRight w:val="0"/>
              <w:marTop w:val="0"/>
              <w:marBottom w:val="0"/>
              <w:divBdr>
                <w:top w:val="none" w:sz="0" w:space="0" w:color="auto"/>
                <w:left w:val="none" w:sz="0" w:space="0" w:color="auto"/>
                <w:bottom w:val="none" w:sz="0" w:space="0" w:color="auto"/>
                <w:right w:val="none" w:sz="0" w:space="0" w:color="auto"/>
              </w:divBdr>
              <w:divsChild>
                <w:div w:id="48385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ucl.ac.uk/museums-static/digitalegypt/themes/beliefa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3</Pages>
  <Words>1141</Words>
  <Characters>6505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6</cp:revision>
  <dcterms:created xsi:type="dcterms:W3CDTF">2020-04-08T18:06:00Z</dcterms:created>
  <dcterms:modified xsi:type="dcterms:W3CDTF">2020-04-08T21:40:00Z</dcterms:modified>
</cp:coreProperties>
</file>