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5D78CF" w14:textId="77777777" w:rsidR="00571993" w:rsidRDefault="00571993" w:rsidP="00143FD2"/>
    <w:p w14:paraId="2A83E9ED" w14:textId="0FC92C2E" w:rsidR="00731C91" w:rsidRDefault="00731C91" w:rsidP="00731C91">
      <w:pPr>
        <w:jc w:val="center"/>
      </w:pPr>
      <w:r>
        <w:rPr>
          <w:noProof/>
        </w:rPr>
        <w:drawing>
          <wp:inline distT="0" distB="0" distL="0" distR="0" wp14:anchorId="6D9B456B" wp14:editId="59438EC6">
            <wp:extent cx="2522220" cy="1387475"/>
            <wp:effectExtent l="0" t="0" r="0" b="317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522220" cy="1387475"/>
                    </a:xfrm>
                    <a:prstGeom prst="rect">
                      <a:avLst/>
                    </a:prstGeom>
                    <a:noFill/>
                    <a:ln>
                      <a:noFill/>
                    </a:ln>
                  </pic:spPr>
                </pic:pic>
              </a:graphicData>
            </a:graphic>
          </wp:inline>
        </w:drawing>
      </w:r>
    </w:p>
    <w:p w14:paraId="4BF08EA4" w14:textId="08186268" w:rsidR="00571993" w:rsidRDefault="00237399" w:rsidP="00731C91">
      <w:pPr>
        <w:jc w:val="center"/>
      </w:pPr>
      <w:r>
        <w:t>UNIVERSITY OF WALES TRINITY SAINT DAVID</w:t>
      </w:r>
    </w:p>
    <w:p w14:paraId="669D03B7" w14:textId="77777777" w:rsidR="00571993" w:rsidRDefault="00237399" w:rsidP="00731C91">
      <w:pPr>
        <w:jc w:val="center"/>
      </w:pPr>
      <w:r>
        <w:t>Swansea Business School</w:t>
      </w:r>
    </w:p>
    <w:p w14:paraId="30A47107" w14:textId="5CE623C3" w:rsidR="00571993" w:rsidRDefault="00237399" w:rsidP="00731C91">
      <w:pPr>
        <w:jc w:val="center"/>
      </w:pPr>
      <w:r>
        <w:t>BMMB7003 - Dissertation (Level 7)</w:t>
      </w:r>
    </w:p>
    <w:p w14:paraId="2F90E273" w14:textId="77777777" w:rsidR="00571993" w:rsidRDefault="00571993" w:rsidP="00731C91">
      <w:pPr>
        <w:jc w:val="center"/>
      </w:pPr>
    </w:p>
    <w:p w14:paraId="644C2580" w14:textId="77777777" w:rsidR="00571993" w:rsidRDefault="00237399" w:rsidP="00731C91">
      <w:pPr>
        <w:jc w:val="center"/>
      </w:pPr>
      <w:r>
        <w:t>To what extent do work-life balance policies impact employee well-being, engagement, and retention across professional sectors? A qualitative study.</w:t>
      </w:r>
    </w:p>
    <w:p w14:paraId="58478387" w14:textId="77777777" w:rsidR="00571993" w:rsidRDefault="00571993" w:rsidP="00731C91">
      <w:pPr>
        <w:jc w:val="center"/>
      </w:pPr>
    </w:p>
    <w:p w14:paraId="4A8DBEB0" w14:textId="77777777" w:rsidR="00571993" w:rsidRDefault="00237399" w:rsidP="00731C91">
      <w:pPr>
        <w:jc w:val="center"/>
      </w:pPr>
      <w:r>
        <w:t>Foyez Ahmed</w:t>
      </w:r>
    </w:p>
    <w:p w14:paraId="3AD94E50" w14:textId="77777777" w:rsidR="00571993" w:rsidRDefault="00237399" w:rsidP="00731C91">
      <w:pPr>
        <w:jc w:val="center"/>
      </w:pPr>
      <w:r>
        <w:t>Student ID: 2439525</w:t>
      </w:r>
    </w:p>
    <w:p w14:paraId="3D9E2DE0" w14:textId="77777777" w:rsidR="00571993" w:rsidRDefault="00237399" w:rsidP="00731C91">
      <w:pPr>
        <w:jc w:val="center"/>
      </w:pPr>
      <w:r>
        <w:t>Programme of Study: Master of Business Administration (MBA)</w:t>
      </w:r>
    </w:p>
    <w:p w14:paraId="7852C9E8" w14:textId="33567FA0" w:rsidR="00571993" w:rsidRDefault="00571993" w:rsidP="00731C91">
      <w:pPr>
        <w:jc w:val="center"/>
      </w:pPr>
    </w:p>
    <w:p w14:paraId="186ADEEA" w14:textId="6A31D43B" w:rsidR="0098366A" w:rsidRDefault="0098366A" w:rsidP="00731C91">
      <w:pPr>
        <w:jc w:val="center"/>
      </w:pPr>
      <w:r>
        <w:t>Supervisor: David Greenshields</w:t>
      </w:r>
    </w:p>
    <w:p w14:paraId="6615B79C" w14:textId="77777777" w:rsidR="0098366A" w:rsidRDefault="0098366A" w:rsidP="00731C91">
      <w:pPr>
        <w:jc w:val="center"/>
      </w:pPr>
    </w:p>
    <w:p w14:paraId="1B18B9D3" w14:textId="77777777" w:rsidR="00571993" w:rsidRDefault="00237399" w:rsidP="00731C91">
      <w:pPr>
        <w:jc w:val="center"/>
      </w:pPr>
      <w:r>
        <w:t>A dissertation submitted in partial fulfilment of the requirements for the degree of Master of Business Administration.</w:t>
      </w:r>
    </w:p>
    <w:p w14:paraId="1E9DA6E6" w14:textId="2DF18664" w:rsidR="00571993" w:rsidRDefault="00237399" w:rsidP="00731C91">
      <w:pPr>
        <w:jc w:val="center"/>
      </w:pPr>
      <w:r>
        <w:t>2025 - 2026</w:t>
      </w:r>
    </w:p>
    <w:p w14:paraId="211897D4" w14:textId="77777777" w:rsidR="00571993" w:rsidRDefault="00237399" w:rsidP="00143FD2">
      <w:r>
        <w:br w:type="page"/>
      </w:r>
    </w:p>
    <w:p w14:paraId="4785646D" w14:textId="77777777" w:rsidR="00571993" w:rsidRDefault="00237399" w:rsidP="0098366A">
      <w:pPr>
        <w:pStyle w:val="Heading1"/>
        <w:jc w:val="both"/>
      </w:pPr>
      <w:bookmarkStart w:id="0" w:name="_Toc241018018"/>
      <w:r>
        <w:lastRenderedPageBreak/>
        <w:t>Declaration and Statements</w:t>
      </w:r>
      <w:bookmarkEnd w:id="0"/>
    </w:p>
    <w:p w14:paraId="636A7D37" w14:textId="77777777" w:rsidR="00571993" w:rsidRDefault="00237399" w:rsidP="00143FD2">
      <w:r>
        <w:t>DECLARATION</w:t>
      </w:r>
    </w:p>
    <w:p w14:paraId="07529C19" w14:textId="77777777" w:rsidR="00571993" w:rsidRDefault="00237399" w:rsidP="00143FD2">
      <w:r>
        <w:t>This work has not previously been accepted in substance for any degree and is not being concurrently submitted in candidature for any degree.</w:t>
      </w:r>
    </w:p>
    <w:p w14:paraId="073B1AE4" w14:textId="0BB0FC10" w:rsidR="00571993" w:rsidRDefault="00237399" w:rsidP="00143FD2">
      <w:r>
        <w:t>Signed ............</w:t>
      </w:r>
      <w:r>
        <w:rPr>
          <w:sz w:val="26"/>
          <w:szCs w:val="26"/>
        </w:rPr>
        <w:t xml:space="preserve"> Foyez Ahmed</w:t>
      </w:r>
      <w:r>
        <w:t>....................... (candidate)     Date ........22/09/2026..................</w:t>
      </w:r>
    </w:p>
    <w:p w14:paraId="01834BF6" w14:textId="77777777" w:rsidR="00571993" w:rsidRDefault="00237399" w:rsidP="00143FD2">
      <w:r>
        <w:t>STATEMENT 1</w:t>
      </w:r>
    </w:p>
    <w:p w14:paraId="2505D983" w14:textId="77777777" w:rsidR="00571993" w:rsidRDefault="00237399" w:rsidP="00143FD2">
      <w:r>
        <w:t>This work is the result of my own investigations, except where otherwise stated. Other sources are acknowledged by footnotes giving explicit references. A bibliography is appended.</w:t>
      </w:r>
    </w:p>
    <w:p w14:paraId="07FB88B1" w14:textId="77777777" w:rsidR="0098366A" w:rsidRDefault="0098366A" w:rsidP="00143FD2">
      <w:r>
        <w:t>Signed ............</w:t>
      </w:r>
      <w:r>
        <w:rPr>
          <w:sz w:val="26"/>
          <w:szCs w:val="26"/>
        </w:rPr>
        <w:t xml:space="preserve"> Foyez Ahmed</w:t>
      </w:r>
      <w:r>
        <w:t>....................... (candidate)     Date ........22/09/2026..................</w:t>
      </w:r>
    </w:p>
    <w:p w14:paraId="0D7A9CDE" w14:textId="77777777" w:rsidR="00571993" w:rsidRDefault="00237399" w:rsidP="00143FD2">
      <w:r>
        <w:t>STATEMENT 2</w:t>
      </w:r>
    </w:p>
    <w:p w14:paraId="33E0B12A" w14:textId="77777777" w:rsidR="00571993" w:rsidRDefault="00237399" w:rsidP="00143FD2">
      <w:r>
        <w:t>I hereby give consent for my work, if accepted, to be available for photocopying and for inter-library loan, and for the title and summary to be made available to outside organisations.</w:t>
      </w:r>
    </w:p>
    <w:p w14:paraId="20ABC8CE" w14:textId="0F5BE14A" w:rsidR="0098366A" w:rsidRDefault="0098366A" w:rsidP="00143FD2">
      <w:r>
        <w:t>Signed ............</w:t>
      </w:r>
      <w:r>
        <w:rPr>
          <w:sz w:val="26"/>
          <w:szCs w:val="26"/>
        </w:rPr>
        <w:t xml:space="preserve"> Foyez Ahmed</w:t>
      </w:r>
      <w:r>
        <w:t>....................... (candidate)     Date ........22/09/2026..................</w:t>
      </w:r>
    </w:p>
    <w:p w14:paraId="52DE9CB6" w14:textId="412EE13C" w:rsidR="006228CE" w:rsidRDefault="006228CE" w:rsidP="00143FD2"/>
    <w:p w14:paraId="3E83A2F3" w14:textId="5B0F0A2F" w:rsidR="006228CE" w:rsidRDefault="006228CE" w:rsidP="00143FD2"/>
    <w:p w14:paraId="6B0698F8" w14:textId="77777777" w:rsidR="006228CE" w:rsidRDefault="006228CE" w:rsidP="00143FD2"/>
    <w:p w14:paraId="721D02F9" w14:textId="77777777" w:rsidR="00571993" w:rsidRDefault="00237399" w:rsidP="00143FD2">
      <w:r>
        <w:br w:type="page"/>
      </w:r>
    </w:p>
    <w:p w14:paraId="5E07F381" w14:textId="77777777" w:rsidR="00571993" w:rsidRDefault="00237399" w:rsidP="0098366A">
      <w:pPr>
        <w:pStyle w:val="Heading1"/>
        <w:jc w:val="both"/>
      </w:pPr>
      <w:bookmarkStart w:id="1" w:name="_Toc241018019"/>
      <w:r>
        <w:lastRenderedPageBreak/>
        <w:t>Acknowledgements</w:t>
      </w:r>
      <w:bookmarkEnd w:id="1"/>
    </w:p>
    <w:p w14:paraId="4022A018" w14:textId="71FD1125" w:rsidR="00571993" w:rsidRPr="0098366A" w:rsidRDefault="00237399" w:rsidP="00143FD2">
      <w:r>
        <w:t xml:space="preserve">I would like to express my sincere gratitude to my dissertation supervisor, </w:t>
      </w:r>
      <w:r>
        <w:rPr>
          <w:b/>
          <w:bCs/>
        </w:rPr>
        <w:t>David Greenshields,</w:t>
      </w:r>
      <w:r>
        <w:t xml:space="preserve"> for their guidance, patience, and constructive feedback throughout this research. I am also grateful to the ten professionals who generously gave their time to share their experiences, without whom this study would not have been possible. Finally, I would like to thank my family and friends for their continued support and encouragement throughout my studies.</w:t>
      </w:r>
    </w:p>
    <w:p w14:paraId="2587687E" w14:textId="56C070F4" w:rsidR="0098366A" w:rsidRDefault="0098366A" w:rsidP="00143FD2"/>
    <w:p w14:paraId="2FBA2FE9" w14:textId="77777777" w:rsidR="0098366A" w:rsidRDefault="0098366A" w:rsidP="00143FD2"/>
    <w:p w14:paraId="0B647E2E" w14:textId="77777777" w:rsidR="00571993" w:rsidRDefault="00237399" w:rsidP="00143FD2">
      <w:r>
        <w:br w:type="page"/>
      </w:r>
    </w:p>
    <w:p w14:paraId="29496CCD" w14:textId="77777777" w:rsidR="00571993" w:rsidRDefault="00237399" w:rsidP="0098366A">
      <w:pPr>
        <w:pStyle w:val="Heading1"/>
        <w:jc w:val="both"/>
      </w:pPr>
      <w:bookmarkStart w:id="2" w:name="_Toc241018020"/>
      <w:r>
        <w:lastRenderedPageBreak/>
        <w:t>Abstract</w:t>
      </w:r>
      <w:bookmarkEnd w:id="2"/>
    </w:p>
    <w:p w14:paraId="00DFAFE5" w14:textId="70FC99CB" w:rsidR="00571993" w:rsidRDefault="00237399" w:rsidP="00143FD2">
      <w:r>
        <w:t>The aim of this dissertation is to explore the question of how effective work-life balance (WLB) policies are for employees’ well-being, engagement, and retention across different professional sectors. While organisations invest heavily in a WLB framework, burnout, disengagement and turnover rates continue to be high, and it would seem that having a policy in place is not enough to ensure its value. Current evidence is mostly quantitative (i.e., does the policy exist or not) and does not capture how policies are perceived by employees, which results in a lack of understanding of the psychological mechanisms linking WLB and retention.</w:t>
      </w:r>
    </w:p>
    <w:p w14:paraId="206B993E" w14:textId="25A4E3BA" w:rsidR="00571993" w:rsidRDefault="00237399" w:rsidP="00143FD2">
      <w:r>
        <w:t>This prompted the use of an interpretivist, inductive and mono-method qualitative research design to address this gap. Semi-structured interviews were held with professionals from four sectors, namely healthcare (NHS), finance, technology and creative industries, and analysed using reflexive thematic analysis, with the help of NVivo software. The analysis was guided by three theoretical frameworks: Spillover Theory, the Job Demands-Resources (JD-R) model, and Kahn’s theory of engagement; Meyer and Allen’s theory of organisational commitment was used to interpret retention.</w:t>
      </w:r>
    </w:p>
    <w:p w14:paraId="5AE2AA14" w14:textId="14A7BF3E" w:rsidR="00571993" w:rsidRDefault="00237399" w:rsidP="00143FD2">
      <w:r>
        <w:t>Five themes emerged: The gap between policy on paper and policy in practice; The cultural cost of using policies; Spillover, exhaustion and protected recovery; Decline from full engagement to mere survival; The difference between wanting to stay and having to stay. The results indicate that WLB policies have a positive impact on the dimensions of well-being, engagement, and retention, but only when they are culturally accessible and core job demands are not unlimited. Flexibility that was available and encouraged by managers (as was the case in the technology firm) yielded protected recovery, high engagement, and true affective commitment. When demands outstripped resources, or policies discouraged employees from taking time off, such as in the NHS, finance and creative cases, policies were, in one nurse’s words, “lovely words sitting on the internet.” One of the most surprising results was that workers who were perceived to be “retained” were often burned out, and retained only by the cost of leaving.</w:t>
      </w:r>
    </w:p>
    <w:p w14:paraId="02605EE8" w14:textId="77777777" w:rsidR="0098366A" w:rsidRDefault="0098366A" w:rsidP="00143FD2"/>
    <w:p w14:paraId="44A39C57" w14:textId="77777777" w:rsidR="00571993" w:rsidRDefault="00237399" w:rsidP="00143FD2">
      <w:r>
        <w:rPr>
          <w:b/>
          <w:bCs/>
        </w:rPr>
        <w:t xml:space="preserve">Keywords: </w:t>
      </w:r>
      <w:r>
        <w:t>work-life balance; employee well-being; engagement; retention; reflexive thematic analysis.</w:t>
      </w:r>
    </w:p>
    <w:p w14:paraId="53B19A4F" w14:textId="77777777" w:rsidR="00571993" w:rsidRDefault="00237399" w:rsidP="00143FD2">
      <w:r>
        <w:br w:type="page"/>
      </w:r>
    </w:p>
    <w:p w14:paraId="5F79A755" w14:textId="77777777" w:rsidR="00571993" w:rsidRDefault="00237399" w:rsidP="0098366A">
      <w:pPr>
        <w:pStyle w:val="Heading1"/>
        <w:jc w:val="both"/>
      </w:pPr>
      <w:bookmarkStart w:id="3" w:name="_Toc241018021"/>
      <w:r>
        <w:lastRenderedPageBreak/>
        <w:t>Table of Contents</w:t>
      </w:r>
      <w:bookmarkEnd w:id="3"/>
    </w:p>
    <w:sdt>
      <w:sdtPr>
        <w:alias w:val="Table of Contents"/>
        <w:id w:val="-534810790"/>
      </w:sdtPr>
      <w:sdtEndPr/>
      <w:sdtContent>
        <w:p w14:paraId="35F93E92" w14:textId="0E0195E3" w:rsidR="00143FD2" w:rsidRDefault="00237399">
          <w:pPr>
            <w:pStyle w:val="TOC1"/>
            <w:tabs>
              <w:tab w:val="right" w:leader="dot" w:pos="9016"/>
            </w:tabs>
            <w:rPr>
              <w:rFonts w:asciiTheme="minorHAnsi" w:eastAsiaTheme="minorEastAsia" w:hAnsiTheme="minorHAnsi" w:cstheme="minorBidi"/>
              <w:noProof/>
              <w:color w:val="auto"/>
              <w:sz w:val="22"/>
              <w:szCs w:val="22"/>
            </w:rPr>
          </w:pPr>
          <w:r>
            <w:fldChar w:fldCharType="begin"/>
          </w:r>
          <w:r>
            <w:instrText>TOC \h \o "1-3"</w:instrText>
          </w:r>
          <w:r>
            <w:fldChar w:fldCharType="separate"/>
          </w:r>
          <w:hyperlink w:anchor="_Toc241018018" w:history="1">
            <w:r>
              <w:rPr>
                <w:rStyle w:val="Hyperlink"/>
                <w:noProof/>
              </w:rPr>
              <w:t>Declaration and Statements</w:t>
            </w:r>
            <w:r>
              <w:rPr>
                <w:noProof/>
              </w:rPr>
              <w:tab/>
            </w:r>
            <w:r>
              <w:rPr>
                <w:noProof/>
              </w:rPr>
              <w:fldChar w:fldCharType="begin"/>
            </w:r>
            <w:r>
              <w:rPr>
                <w:noProof/>
              </w:rPr>
              <w:instrText xml:space="preserve"> PAGEREF _Toc241018018 \h </w:instrText>
            </w:r>
            <w:r>
              <w:rPr>
                <w:noProof/>
              </w:rPr>
            </w:r>
            <w:r>
              <w:rPr>
                <w:noProof/>
              </w:rPr>
              <w:fldChar w:fldCharType="separate"/>
            </w:r>
            <w:r>
              <w:rPr>
                <w:noProof/>
              </w:rPr>
              <w:t>2</w:t>
            </w:r>
            <w:r>
              <w:rPr>
                <w:noProof/>
              </w:rPr>
              <w:fldChar w:fldCharType="end"/>
            </w:r>
          </w:hyperlink>
        </w:p>
        <w:p w14:paraId="35E244A0" w14:textId="42A323EB" w:rsidR="00143FD2" w:rsidRDefault="00B60110">
          <w:pPr>
            <w:pStyle w:val="TOC1"/>
            <w:tabs>
              <w:tab w:val="right" w:leader="dot" w:pos="9016"/>
            </w:tabs>
            <w:rPr>
              <w:rFonts w:asciiTheme="minorHAnsi" w:eastAsiaTheme="minorEastAsia" w:hAnsiTheme="minorHAnsi" w:cstheme="minorBidi"/>
              <w:noProof/>
              <w:color w:val="auto"/>
              <w:sz w:val="22"/>
              <w:szCs w:val="22"/>
            </w:rPr>
          </w:pPr>
          <w:hyperlink w:anchor="_Toc241018019" w:history="1">
            <w:r w:rsidR="00143FD2">
              <w:rPr>
                <w:rStyle w:val="Hyperlink"/>
                <w:noProof/>
              </w:rPr>
              <w:t>Acknowledgements</w:t>
            </w:r>
            <w:r w:rsidR="00143FD2">
              <w:rPr>
                <w:noProof/>
              </w:rPr>
              <w:tab/>
            </w:r>
            <w:r w:rsidR="00143FD2">
              <w:rPr>
                <w:noProof/>
              </w:rPr>
              <w:fldChar w:fldCharType="begin"/>
            </w:r>
            <w:r w:rsidR="00143FD2">
              <w:rPr>
                <w:noProof/>
              </w:rPr>
              <w:instrText xml:space="preserve"> PAGEREF _Toc241018019 \h </w:instrText>
            </w:r>
            <w:r w:rsidR="00143FD2">
              <w:rPr>
                <w:noProof/>
              </w:rPr>
            </w:r>
            <w:r w:rsidR="00143FD2">
              <w:rPr>
                <w:noProof/>
              </w:rPr>
              <w:fldChar w:fldCharType="separate"/>
            </w:r>
            <w:r w:rsidR="00143FD2">
              <w:rPr>
                <w:noProof/>
              </w:rPr>
              <w:t>3</w:t>
            </w:r>
            <w:r w:rsidR="00143FD2">
              <w:rPr>
                <w:noProof/>
              </w:rPr>
              <w:fldChar w:fldCharType="end"/>
            </w:r>
          </w:hyperlink>
        </w:p>
        <w:p w14:paraId="446F82F2" w14:textId="7C102788" w:rsidR="00143FD2" w:rsidRDefault="00B60110">
          <w:pPr>
            <w:pStyle w:val="TOC1"/>
            <w:tabs>
              <w:tab w:val="right" w:leader="dot" w:pos="9016"/>
            </w:tabs>
            <w:rPr>
              <w:rFonts w:asciiTheme="minorHAnsi" w:eastAsiaTheme="minorEastAsia" w:hAnsiTheme="minorHAnsi" w:cstheme="minorBidi"/>
              <w:noProof/>
              <w:color w:val="auto"/>
              <w:sz w:val="22"/>
              <w:szCs w:val="22"/>
            </w:rPr>
          </w:pPr>
          <w:hyperlink w:anchor="_Toc241018020" w:history="1">
            <w:r w:rsidR="00143FD2">
              <w:rPr>
                <w:rStyle w:val="Hyperlink"/>
                <w:noProof/>
              </w:rPr>
              <w:t>Abstract</w:t>
            </w:r>
            <w:r w:rsidR="00143FD2">
              <w:rPr>
                <w:noProof/>
              </w:rPr>
              <w:tab/>
            </w:r>
            <w:r w:rsidR="00143FD2">
              <w:rPr>
                <w:noProof/>
              </w:rPr>
              <w:fldChar w:fldCharType="begin"/>
            </w:r>
            <w:r w:rsidR="00143FD2">
              <w:rPr>
                <w:noProof/>
              </w:rPr>
              <w:instrText xml:space="preserve"> PAGEREF _Toc241018020 \h </w:instrText>
            </w:r>
            <w:r w:rsidR="00143FD2">
              <w:rPr>
                <w:noProof/>
              </w:rPr>
            </w:r>
            <w:r w:rsidR="00143FD2">
              <w:rPr>
                <w:noProof/>
              </w:rPr>
              <w:fldChar w:fldCharType="separate"/>
            </w:r>
            <w:r w:rsidR="00143FD2">
              <w:rPr>
                <w:noProof/>
              </w:rPr>
              <w:t>4</w:t>
            </w:r>
            <w:r w:rsidR="00143FD2">
              <w:rPr>
                <w:noProof/>
              </w:rPr>
              <w:fldChar w:fldCharType="end"/>
            </w:r>
          </w:hyperlink>
        </w:p>
        <w:p w14:paraId="04FF4912" w14:textId="561071DA" w:rsidR="00143FD2" w:rsidRDefault="00B60110">
          <w:pPr>
            <w:pStyle w:val="TOC1"/>
            <w:tabs>
              <w:tab w:val="right" w:leader="dot" w:pos="9016"/>
            </w:tabs>
            <w:rPr>
              <w:rFonts w:asciiTheme="minorHAnsi" w:eastAsiaTheme="minorEastAsia" w:hAnsiTheme="minorHAnsi" w:cstheme="minorBidi"/>
              <w:noProof/>
              <w:color w:val="auto"/>
              <w:sz w:val="22"/>
              <w:szCs w:val="22"/>
            </w:rPr>
          </w:pPr>
          <w:hyperlink w:anchor="_Toc241018021" w:history="1">
            <w:r w:rsidR="00143FD2">
              <w:rPr>
                <w:rStyle w:val="Hyperlink"/>
                <w:noProof/>
              </w:rPr>
              <w:t>Table of Contents</w:t>
            </w:r>
            <w:r w:rsidR="00143FD2">
              <w:rPr>
                <w:noProof/>
              </w:rPr>
              <w:tab/>
            </w:r>
            <w:r w:rsidR="00143FD2">
              <w:rPr>
                <w:noProof/>
              </w:rPr>
              <w:fldChar w:fldCharType="begin"/>
            </w:r>
            <w:r w:rsidR="00143FD2">
              <w:rPr>
                <w:noProof/>
              </w:rPr>
              <w:instrText xml:space="preserve"> PAGEREF _Toc241018021 \h </w:instrText>
            </w:r>
            <w:r w:rsidR="00143FD2">
              <w:rPr>
                <w:noProof/>
              </w:rPr>
            </w:r>
            <w:r w:rsidR="00143FD2">
              <w:rPr>
                <w:noProof/>
              </w:rPr>
              <w:fldChar w:fldCharType="separate"/>
            </w:r>
            <w:r w:rsidR="00143FD2">
              <w:rPr>
                <w:noProof/>
              </w:rPr>
              <w:t>5</w:t>
            </w:r>
            <w:r w:rsidR="00143FD2">
              <w:rPr>
                <w:noProof/>
              </w:rPr>
              <w:fldChar w:fldCharType="end"/>
            </w:r>
          </w:hyperlink>
        </w:p>
        <w:p w14:paraId="50A2F222" w14:textId="45236CFB" w:rsidR="00143FD2" w:rsidRDefault="00B60110">
          <w:pPr>
            <w:pStyle w:val="TOC1"/>
            <w:tabs>
              <w:tab w:val="right" w:leader="dot" w:pos="9016"/>
            </w:tabs>
            <w:rPr>
              <w:rFonts w:asciiTheme="minorHAnsi" w:eastAsiaTheme="minorEastAsia" w:hAnsiTheme="minorHAnsi" w:cstheme="minorBidi"/>
              <w:noProof/>
              <w:color w:val="auto"/>
              <w:sz w:val="22"/>
              <w:szCs w:val="22"/>
            </w:rPr>
          </w:pPr>
          <w:hyperlink w:anchor="_Toc241018022" w:history="1">
            <w:r w:rsidR="00143FD2">
              <w:rPr>
                <w:rStyle w:val="Hyperlink"/>
                <w:noProof/>
              </w:rPr>
              <w:t>List of Tables</w:t>
            </w:r>
            <w:r w:rsidR="00143FD2">
              <w:rPr>
                <w:noProof/>
              </w:rPr>
              <w:tab/>
            </w:r>
            <w:r w:rsidR="00143FD2">
              <w:rPr>
                <w:noProof/>
              </w:rPr>
              <w:fldChar w:fldCharType="begin"/>
            </w:r>
            <w:r w:rsidR="00143FD2">
              <w:rPr>
                <w:noProof/>
              </w:rPr>
              <w:instrText xml:space="preserve"> PAGEREF _Toc241018022 \h </w:instrText>
            </w:r>
            <w:r w:rsidR="00143FD2">
              <w:rPr>
                <w:noProof/>
              </w:rPr>
            </w:r>
            <w:r w:rsidR="00143FD2">
              <w:rPr>
                <w:noProof/>
              </w:rPr>
              <w:fldChar w:fldCharType="separate"/>
            </w:r>
            <w:r w:rsidR="00143FD2">
              <w:rPr>
                <w:noProof/>
              </w:rPr>
              <w:t>8</w:t>
            </w:r>
            <w:r w:rsidR="00143FD2">
              <w:rPr>
                <w:noProof/>
              </w:rPr>
              <w:fldChar w:fldCharType="end"/>
            </w:r>
          </w:hyperlink>
        </w:p>
        <w:p w14:paraId="162FDDD8" w14:textId="7C6AEC6D" w:rsidR="00143FD2" w:rsidRDefault="00B60110">
          <w:pPr>
            <w:pStyle w:val="TOC1"/>
            <w:tabs>
              <w:tab w:val="right" w:leader="dot" w:pos="9016"/>
            </w:tabs>
            <w:rPr>
              <w:rFonts w:asciiTheme="minorHAnsi" w:eastAsiaTheme="minorEastAsia" w:hAnsiTheme="minorHAnsi" w:cstheme="minorBidi"/>
              <w:noProof/>
              <w:color w:val="auto"/>
              <w:sz w:val="22"/>
              <w:szCs w:val="22"/>
            </w:rPr>
          </w:pPr>
          <w:hyperlink w:anchor="_Toc241018023" w:history="1">
            <w:r w:rsidR="00143FD2">
              <w:rPr>
                <w:rStyle w:val="Hyperlink"/>
                <w:noProof/>
              </w:rPr>
              <w:t>List of Figures</w:t>
            </w:r>
            <w:r w:rsidR="00143FD2">
              <w:rPr>
                <w:noProof/>
              </w:rPr>
              <w:tab/>
            </w:r>
            <w:r w:rsidR="00143FD2">
              <w:rPr>
                <w:noProof/>
              </w:rPr>
              <w:fldChar w:fldCharType="begin"/>
            </w:r>
            <w:r w:rsidR="00143FD2">
              <w:rPr>
                <w:noProof/>
              </w:rPr>
              <w:instrText xml:space="preserve"> PAGEREF _Toc241018023 \h </w:instrText>
            </w:r>
            <w:r w:rsidR="00143FD2">
              <w:rPr>
                <w:noProof/>
              </w:rPr>
            </w:r>
            <w:r w:rsidR="00143FD2">
              <w:rPr>
                <w:noProof/>
              </w:rPr>
              <w:fldChar w:fldCharType="separate"/>
            </w:r>
            <w:r w:rsidR="00143FD2">
              <w:rPr>
                <w:noProof/>
              </w:rPr>
              <w:t>9</w:t>
            </w:r>
            <w:r w:rsidR="00143FD2">
              <w:rPr>
                <w:noProof/>
              </w:rPr>
              <w:fldChar w:fldCharType="end"/>
            </w:r>
          </w:hyperlink>
        </w:p>
        <w:p w14:paraId="455E52A1" w14:textId="052D6560" w:rsidR="00143FD2" w:rsidRDefault="00B60110">
          <w:pPr>
            <w:pStyle w:val="TOC1"/>
            <w:tabs>
              <w:tab w:val="right" w:leader="dot" w:pos="9016"/>
            </w:tabs>
            <w:rPr>
              <w:rFonts w:asciiTheme="minorHAnsi" w:eastAsiaTheme="minorEastAsia" w:hAnsiTheme="minorHAnsi" w:cstheme="minorBidi"/>
              <w:noProof/>
              <w:color w:val="auto"/>
              <w:sz w:val="22"/>
              <w:szCs w:val="22"/>
            </w:rPr>
          </w:pPr>
          <w:hyperlink w:anchor="_Toc241018024" w:history="1">
            <w:r w:rsidR="00143FD2">
              <w:rPr>
                <w:rStyle w:val="Hyperlink"/>
                <w:noProof/>
              </w:rPr>
              <w:t>Chapter One: Introduction</w:t>
            </w:r>
            <w:r w:rsidR="00143FD2">
              <w:rPr>
                <w:noProof/>
              </w:rPr>
              <w:tab/>
            </w:r>
            <w:r w:rsidR="00143FD2">
              <w:rPr>
                <w:noProof/>
              </w:rPr>
              <w:fldChar w:fldCharType="begin"/>
            </w:r>
            <w:r w:rsidR="00143FD2">
              <w:rPr>
                <w:noProof/>
              </w:rPr>
              <w:instrText xml:space="preserve"> PAGEREF _Toc241018024 \h </w:instrText>
            </w:r>
            <w:r w:rsidR="00143FD2">
              <w:rPr>
                <w:noProof/>
              </w:rPr>
            </w:r>
            <w:r w:rsidR="00143FD2">
              <w:rPr>
                <w:noProof/>
              </w:rPr>
              <w:fldChar w:fldCharType="separate"/>
            </w:r>
            <w:r w:rsidR="00143FD2">
              <w:rPr>
                <w:noProof/>
              </w:rPr>
              <w:t>10</w:t>
            </w:r>
            <w:r w:rsidR="00143FD2">
              <w:rPr>
                <w:noProof/>
              </w:rPr>
              <w:fldChar w:fldCharType="end"/>
            </w:r>
          </w:hyperlink>
        </w:p>
        <w:p w14:paraId="4E94B5F1" w14:textId="6A676279" w:rsidR="00143FD2" w:rsidRDefault="00B60110">
          <w:pPr>
            <w:pStyle w:val="TOC2"/>
            <w:tabs>
              <w:tab w:val="right" w:leader="dot" w:pos="9016"/>
            </w:tabs>
            <w:rPr>
              <w:rFonts w:asciiTheme="minorHAnsi" w:eastAsiaTheme="minorEastAsia" w:hAnsiTheme="minorHAnsi" w:cstheme="minorBidi"/>
              <w:noProof/>
              <w:color w:val="auto"/>
              <w:sz w:val="22"/>
              <w:szCs w:val="22"/>
            </w:rPr>
          </w:pPr>
          <w:hyperlink w:anchor="_Toc241018025" w:history="1">
            <w:r w:rsidR="00143FD2">
              <w:rPr>
                <w:rStyle w:val="Hyperlink"/>
                <w:noProof/>
              </w:rPr>
              <w:t>1.1 Background of the Study</w:t>
            </w:r>
            <w:r w:rsidR="00143FD2">
              <w:rPr>
                <w:noProof/>
              </w:rPr>
              <w:tab/>
            </w:r>
            <w:r w:rsidR="00143FD2">
              <w:rPr>
                <w:noProof/>
              </w:rPr>
              <w:fldChar w:fldCharType="begin"/>
            </w:r>
            <w:r w:rsidR="00143FD2">
              <w:rPr>
                <w:noProof/>
              </w:rPr>
              <w:instrText xml:space="preserve"> PAGEREF _Toc241018025 \h </w:instrText>
            </w:r>
            <w:r w:rsidR="00143FD2">
              <w:rPr>
                <w:noProof/>
              </w:rPr>
            </w:r>
            <w:r w:rsidR="00143FD2">
              <w:rPr>
                <w:noProof/>
              </w:rPr>
              <w:fldChar w:fldCharType="separate"/>
            </w:r>
            <w:r w:rsidR="00143FD2">
              <w:rPr>
                <w:noProof/>
              </w:rPr>
              <w:t>10</w:t>
            </w:r>
            <w:r w:rsidR="00143FD2">
              <w:rPr>
                <w:noProof/>
              </w:rPr>
              <w:fldChar w:fldCharType="end"/>
            </w:r>
          </w:hyperlink>
        </w:p>
        <w:p w14:paraId="3A14B505" w14:textId="10CEE440" w:rsidR="00143FD2" w:rsidRDefault="00B60110">
          <w:pPr>
            <w:pStyle w:val="TOC2"/>
            <w:tabs>
              <w:tab w:val="right" w:leader="dot" w:pos="9016"/>
            </w:tabs>
            <w:rPr>
              <w:rFonts w:asciiTheme="minorHAnsi" w:eastAsiaTheme="minorEastAsia" w:hAnsiTheme="minorHAnsi" w:cstheme="minorBidi"/>
              <w:noProof/>
              <w:color w:val="auto"/>
              <w:sz w:val="22"/>
              <w:szCs w:val="22"/>
            </w:rPr>
          </w:pPr>
          <w:hyperlink w:anchor="_Toc241018026" w:history="1">
            <w:r w:rsidR="00143FD2">
              <w:rPr>
                <w:rStyle w:val="Hyperlink"/>
                <w:noProof/>
              </w:rPr>
              <w:t>1.2 Problem Statement</w:t>
            </w:r>
            <w:r w:rsidR="00143FD2">
              <w:rPr>
                <w:noProof/>
              </w:rPr>
              <w:tab/>
            </w:r>
            <w:r w:rsidR="00143FD2">
              <w:rPr>
                <w:noProof/>
              </w:rPr>
              <w:fldChar w:fldCharType="begin"/>
            </w:r>
            <w:r w:rsidR="00143FD2">
              <w:rPr>
                <w:noProof/>
              </w:rPr>
              <w:instrText xml:space="preserve"> PAGEREF _Toc241018026 \h </w:instrText>
            </w:r>
            <w:r w:rsidR="00143FD2">
              <w:rPr>
                <w:noProof/>
              </w:rPr>
            </w:r>
            <w:r w:rsidR="00143FD2">
              <w:rPr>
                <w:noProof/>
              </w:rPr>
              <w:fldChar w:fldCharType="separate"/>
            </w:r>
            <w:r w:rsidR="00143FD2">
              <w:rPr>
                <w:noProof/>
              </w:rPr>
              <w:t>12</w:t>
            </w:r>
            <w:r w:rsidR="00143FD2">
              <w:rPr>
                <w:noProof/>
              </w:rPr>
              <w:fldChar w:fldCharType="end"/>
            </w:r>
          </w:hyperlink>
        </w:p>
        <w:p w14:paraId="47714BD2" w14:textId="5038DDC4" w:rsidR="00143FD2" w:rsidRDefault="00B60110">
          <w:pPr>
            <w:pStyle w:val="TOC2"/>
            <w:tabs>
              <w:tab w:val="right" w:leader="dot" w:pos="9016"/>
            </w:tabs>
            <w:rPr>
              <w:rFonts w:asciiTheme="minorHAnsi" w:eastAsiaTheme="minorEastAsia" w:hAnsiTheme="minorHAnsi" w:cstheme="minorBidi"/>
              <w:noProof/>
              <w:color w:val="auto"/>
              <w:sz w:val="22"/>
              <w:szCs w:val="22"/>
            </w:rPr>
          </w:pPr>
          <w:hyperlink w:anchor="_Toc241018027" w:history="1">
            <w:r w:rsidR="00143FD2">
              <w:rPr>
                <w:rStyle w:val="Hyperlink"/>
                <w:noProof/>
              </w:rPr>
              <w:t>1.3 Research Rationale</w:t>
            </w:r>
            <w:r w:rsidR="00143FD2">
              <w:rPr>
                <w:noProof/>
              </w:rPr>
              <w:tab/>
            </w:r>
            <w:r w:rsidR="00143FD2">
              <w:rPr>
                <w:noProof/>
              </w:rPr>
              <w:fldChar w:fldCharType="begin"/>
            </w:r>
            <w:r w:rsidR="00143FD2">
              <w:rPr>
                <w:noProof/>
              </w:rPr>
              <w:instrText xml:space="preserve"> PAGEREF _Toc241018027 \h </w:instrText>
            </w:r>
            <w:r w:rsidR="00143FD2">
              <w:rPr>
                <w:noProof/>
              </w:rPr>
            </w:r>
            <w:r w:rsidR="00143FD2">
              <w:rPr>
                <w:noProof/>
              </w:rPr>
              <w:fldChar w:fldCharType="separate"/>
            </w:r>
            <w:r w:rsidR="00143FD2">
              <w:rPr>
                <w:noProof/>
              </w:rPr>
              <w:t>13</w:t>
            </w:r>
            <w:r w:rsidR="00143FD2">
              <w:rPr>
                <w:noProof/>
              </w:rPr>
              <w:fldChar w:fldCharType="end"/>
            </w:r>
          </w:hyperlink>
        </w:p>
        <w:p w14:paraId="60768A4F" w14:textId="17ACBD0D" w:rsidR="00143FD2" w:rsidRDefault="00B60110">
          <w:pPr>
            <w:pStyle w:val="TOC2"/>
            <w:tabs>
              <w:tab w:val="right" w:leader="dot" w:pos="9016"/>
            </w:tabs>
            <w:rPr>
              <w:rFonts w:asciiTheme="minorHAnsi" w:eastAsiaTheme="minorEastAsia" w:hAnsiTheme="minorHAnsi" w:cstheme="minorBidi"/>
              <w:noProof/>
              <w:color w:val="auto"/>
              <w:sz w:val="22"/>
              <w:szCs w:val="22"/>
            </w:rPr>
          </w:pPr>
          <w:hyperlink w:anchor="_Toc241018028" w:history="1">
            <w:r w:rsidR="00143FD2">
              <w:rPr>
                <w:rStyle w:val="Hyperlink"/>
                <w:noProof/>
              </w:rPr>
              <w:t>1.4 Research Aim</w:t>
            </w:r>
            <w:r w:rsidR="00143FD2">
              <w:rPr>
                <w:noProof/>
              </w:rPr>
              <w:tab/>
            </w:r>
            <w:r w:rsidR="00143FD2">
              <w:rPr>
                <w:noProof/>
              </w:rPr>
              <w:fldChar w:fldCharType="begin"/>
            </w:r>
            <w:r w:rsidR="00143FD2">
              <w:rPr>
                <w:noProof/>
              </w:rPr>
              <w:instrText xml:space="preserve"> PAGEREF _Toc241018028 \h </w:instrText>
            </w:r>
            <w:r w:rsidR="00143FD2">
              <w:rPr>
                <w:noProof/>
              </w:rPr>
            </w:r>
            <w:r w:rsidR="00143FD2">
              <w:rPr>
                <w:noProof/>
              </w:rPr>
              <w:fldChar w:fldCharType="separate"/>
            </w:r>
            <w:r w:rsidR="00143FD2">
              <w:rPr>
                <w:noProof/>
              </w:rPr>
              <w:t>14</w:t>
            </w:r>
            <w:r w:rsidR="00143FD2">
              <w:rPr>
                <w:noProof/>
              </w:rPr>
              <w:fldChar w:fldCharType="end"/>
            </w:r>
          </w:hyperlink>
        </w:p>
        <w:p w14:paraId="3EA4DC6E" w14:textId="3FBDCBF9" w:rsidR="00143FD2" w:rsidRDefault="00B60110">
          <w:pPr>
            <w:pStyle w:val="TOC2"/>
            <w:tabs>
              <w:tab w:val="right" w:leader="dot" w:pos="9016"/>
            </w:tabs>
            <w:rPr>
              <w:rFonts w:asciiTheme="minorHAnsi" w:eastAsiaTheme="minorEastAsia" w:hAnsiTheme="minorHAnsi" w:cstheme="minorBidi"/>
              <w:noProof/>
              <w:color w:val="auto"/>
              <w:sz w:val="22"/>
              <w:szCs w:val="22"/>
            </w:rPr>
          </w:pPr>
          <w:hyperlink w:anchor="_Toc241018029" w:history="1">
            <w:r w:rsidR="00143FD2">
              <w:rPr>
                <w:rStyle w:val="Hyperlink"/>
                <w:noProof/>
              </w:rPr>
              <w:t>1.5 Research Objectives</w:t>
            </w:r>
            <w:r w:rsidR="00143FD2">
              <w:rPr>
                <w:noProof/>
              </w:rPr>
              <w:tab/>
            </w:r>
            <w:r w:rsidR="00143FD2">
              <w:rPr>
                <w:noProof/>
              </w:rPr>
              <w:fldChar w:fldCharType="begin"/>
            </w:r>
            <w:r w:rsidR="00143FD2">
              <w:rPr>
                <w:noProof/>
              </w:rPr>
              <w:instrText xml:space="preserve"> PAGEREF _Toc241018029 \h </w:instrText>
            </w:r>
            <w:r w:rsidR="00143FD2">
              <w:rPr>
                <w:noProof/>
              </w:rPr>
            </w:r>
            <w:r w:rsidR="00143FD2">
              <w:rPr>
                <w:noProof/>
              </w:rPr>
              <w:fldChar w:fldCharType="separate"/>
            </w:r>
            <w:r w:rsidR="00143FD2">
              <w:rPr>
                <w:noProof/>
              </w:rPr>
              <w:t>14</w:t>
            </w:r>
            <w:r w:rsidR="00143FD2">
              <w:rPr>
                <w:noProof/>
              </w:rPr>
              <w:fldChar w:fldCharType="end"/>
            </w:r>
          </w:hyperlink>
        </w:p>
        <w:p w14:paraId="55A938BC" w14:textId="0CC76D6D" w:rsidR="00143FD2" w:rsidRDefault="00B60110">
          <w:pPr>
            <w:pStyle w:val="TOC2"/>
            <w:tabs>
              <w:tab w:val="right" w:leader="dot" w:pos="9016"/>
            </w:tabs>
            <w:rPr>
              <w:rFonts w:asciiTheme="minorHAnsi" w:eastAsiaTheme="minorEastAsia" w:hAnsiTheme="minorHAnsi" w:cstheme="minorBidi"/>
              <w:noProof/>
              <w:color w:val="auto"/>
              <w:sz w:val="22"/>
              <w:szCs w:val="22"/>
            </w:rPr>
          </w:pPr>
          <w:hyperlink w:anchor="_Toc241018030" w:history="1">
            <w:r w:rsidR="00143FD2">
              <w:rPr>
                <w:rStyle w:val="Hyperlink"/>
                <w:noProof/>
              </w:rPr>
              <w:t>1.6 Research Question</w:t>
            </w:r>
            <w:r w:rsidR="00143FD2">
              <w:rPr>
                <w:noProof/>
              </w:rPr>
              <w:tab/>
            </w:r>
            <w:r w:rsidR="00143FD2">
              <w:rPr>
                <w:noProof/>
              </w:rPr>
              <w:fldChar w:fldCharType="begin"/>
            </w:r>
            <w:r w:rsidR="00143FD2">
              <w:rPr>
                <w:noProof/>
              </w:rPr>
              <w:instrText xml:space="preserve"> PAGEREF _Toc241018030 \h </w:instrText>
            </w:r>
            <w:r w:rsidR="00143FD2">
              <w:rPr>
                <w:noProof/>
              </w:rPr>
            </w:r>
            <w:r w:rsidR="00143FD2">
              <w:rPr>
                <w:noProof/>
              </w:rPr>
              <w:fldChar w:fldCharType="separate"/>
            </w:r>
            <w:r w:rsidR="00143FD2">
              <w:rPr>
                <w:noProof/>
              </w:rPr>
              <w:t>14</w:t>
            </w:r>
            <w:r w:rsidR="00143FD2">
              <w:rPr>
                <w:noProof/>
              </w:rPr>
              <w:fldChar w:fldCharType="end"/>
            </w:r>
          </w:hyperlink>
        </w:p>
        <w:p w14:paraId="57F256CB" w14:textId="5A5E8BD1" w:rsidR="00143FD2" w:rsidRDefault="00B60110">
          <w:pPr>
            <w:pStyle w:val="TOC2"/>
            <w:tabs>
              <w:tab w:val="right" w:leader="dot" w:pos="9016"/>
            </w:tabs>
            <w:rPr>
              <w:rFonts w:asciiTheme="minorHAnsi" w:eastAsiaTheme="minorEastAsia" w:hAnsiTheme="minorHAnsi" w:cstheme="minorBidi"/>
              <w:noProof/>
              <w:color w:val="auto"/>
              <w:sz w:val="22"/>
              <w:szCs w:val="22"/>
            </w:rPr>
          </w:pPr>
          <w:hyperlink w:anchor="_Toc241018031" w:history="1">
            <w:r w:rsidR="00143FD2">
              <w:rPr>
                <w:rStyle w:val="Hyperlink"/>
                <w:noProof/>
              </w:rPr>
              <w:t>1.7 Structure of the Study</w:t>
            </w:r>
            <w:r w:rsidR="00143FD2">
              <w:rPr>
                <w:noProof/>
              </w:rPr>
              <w:tab/>
            </w:r>
            <w:r w:rsidR="00143FD2">
              <w:rPr>
                <w:noProof/>
              </w:rPr>
              <w:fldChar w:fldCharType="begin"/>
            </w:r>
            <w:r w:rsidR="00143FD2">
              <w:rPr>
                <w:noProof/>
              </w:rPr>
              <w:instrText xml:space="preserve"> PAGEREF _Toc241018031 \h </w:instrText>
            </w:r>
            <w:r w:rsidR="00143FD2">
              <w:rPr>
                <w:noProof/>
              </w:rPr>
            </w:r>
            <w:r w:rsidR="00143FD2">
              <w:rPr>
                <w:noProof/>
              </w:rPr>
              <w:fldChar w:fldCharType="separate"/>
            </w:r>
            <w:r w:rsidR="00143FD2">
              <w:rPr>
                <w:noProof/>
              </w:rPr>
              <w:t>14</w:t>
            </w:r>
            <w:r w:rsidR="00143FD2">
              <w:rPr>
                <w:noProof/>
              </w:rPr>
              <w:fldChar w:fldCharType="end"/>
            </w:r>
          </w:hyperlink>
        </w:p>
        <w:p w14:paraId="06F88310" w14:textId="7E77B29D" w:rsidR="00143FD2" w:rsidRDefault="00B60110">
          <w:pPr>
            <w:pStyle w:val="TOC1"/>
            <w:tabs>
              <w:tab w:val="right" w:leader="dot" w:pos="9016"/>
            </w:tabs>
            <w:rPr>
              <w:rFonts w:asciiTheme="minorHAnsi" w:eastAsiaTheme="minorEastAsia" w:hAnsiTheme="minorHAnsi" w:cstheme="minorBidi"/>
              <w:noProof/>
              <w:color w:val="auto"/>
              <w:sz w:val="22"/>
              <w:szCs w:val="22"/>
            </w:rPr>
          </w:pPr>
          <w:hyperlink w:anchor="_Toc241018032" w:history="1">
            <w:r w:rsidR="00143FD2">
              <w:rPr>
                <w:rStyle w:val="Hyperlink"/>
                <w:noProof/>
              </w:rPr>
              <w:t>Chapter Two: Literature Review</w:t>
            </w:r>
            <w:r w:rsidR="00143FD2">
              <w:rPr>
                <w:noProof/>
              </w:rPr>
              <w:tab/>
            </w:r>
            <w:r w:rsidR="00143FD2">
              <w:rPr>
                <w:noProof/>
              </w:rPr>
              <w:fldChar w:fldCharType="begin"/>
            </w:r>
            <w:r w:rsidR="00143FD2">
              <w:rPr>
                <w:noProof/>
              </w:rPr>
              <w:instrText xml:space="preserve"> PAGEREF _Toc241018032 \h </w:instrText>
            </w:r>
            <w:r w:rsidR="00143FD2">
              <w:rPr>
                <w:noProof/>
              </w:rPr>
            </w:r>
            <w:r w:rsidR="00143FD2">
              <w:rPr>
                <w:noProof/>
              </w:rPr>
              <w:fldChar w:fldCharType="separate"/>
            </w:r>
            <w:r w:rsidR="00143FD2">
              <w:rPr>
                <w:noProof/>
              </w:rPr>
              <w:t>16</w:t>
            </w:r>
            <w:r w:rsidR="00143FD2">
              <w:rPr>
                <w:noProof/>
              </w:rPr>
              <w:fldChar w:fldCharType="end"/>
            </w:r>
          </w:hyperlink>
        </w:p>
        <w:p w14:paraId="06C8C413" w14:textId="5A7C51E8" w:rsidR="00143FD2" w:rsidRDefault="00B60110">
          <w:pPr>
            <w:pStyle w:val="TOC2"/>
            <w:tabs>
              <w:tab w:val="right" w:leader="dot" w:pos="9016"/>
            </w:tabs>
            <w:rPr>
              <w:rFonts w:asciiTheme="minorHAnsi" w:eastAsiaTheme="minorEastAsia" w:hAnsiTheme="minorHAnsi" w:cstheme="minorBidi"/>
              <w:noProof/>
              <w:color w:val="auto"/>
              <w:sz w:val="22"/>
              <w:szCs w:val="22"/>
            </w:rPr>
          </w:pPr>
          <w:hyperlink w:anchor="_Toc241018033" w:history="1">
            <w:r w:rsidR="00143FD2">
              <w:rPr>
                <w:rStyle w:val="Hyperlink"/>
                <w:noProof/>
              </w:rPr>
              <w:t>2.1 Introduction</w:t>
            </w:r>
            <w:r w:rsidR="00143FD2">
              <w:rPr>
                <w:noProof/>
              </w:rPr>
              <w:tab/>
            </w:r>
            <w:r w:rsidR="00143FD2">
              <w:rPr>
                <w:noProof/>
              </w:rPr>
              <w:fldChar w:fldCharType="begin"/>
            </w:r>
            <w:r w:rsidR="00143FD2">
              <w:rPr>
                <w:noProof/>
              </w:rPr>
              <w:instrText xml:space="preserve"> PAGEREF _Toc241018033 \h </w:instrText>
            </w:r>
            <w:r w:rsidR="00143FD2">
              <w:rPr>
                <w:noProof/>
              </w:rPr>
            </w:r>
            <w:r w:rsidR="00143FD2">
              <w:rPr>
                <w:noProof/>
              </w:rPr>
              <w:fldChar w:fldCharType="separate"/>
            </w:r>
            <w:r w:rsidR="00143FD2">
              <w:rPr>
                <w:noProof/>
              </w:rPr>
              <w:t>16</w:t>
            </w:r>
            <w:r w:rsidR="00143FD2">
              <w:rPr>
                <w:noProof/>
              </w:rPr>
              <w:fldChar w:fldCharType="end"/>
            </w:r>
          </w:hyperlink>
        </w:p>
        <w:p w14:paraId="5F16B669" w14:textId="52DAEC29" w:rsidR="00143FD2" w:rsidRDefault="00B60110">
          <w:pPr>
            <w:pStyle w:val="TOC2"/>
            <w:tabs>
              <w:tab w:val="right" w:leader="dot" w:pos="9016"/>
            </w:tabs>
            <w:rPr>
              <w:rFonts w:asciiTheme="minorHAnsi" w:eastAsiaTheme="minorEastAsia" w:hAnsiTheme="minorHAnsi" w:cstheme="minorBidi"/>
              <w:noProof/>
              <w:color w:val="auto"/>
              <w:sz w:val="22"/>
              <w:szCs w:val="22"/>
            </w:rPr>
          </w:pPr>
          <w:hyperlink w:anchor="_Toc241018034" w:history="1">
            <w:r w:rsidR="00143FD2">
              <w:rPr>
                <w:rStyle w:val="Hyperlink"/>
                <w:noProof/>
              </w:rPr>
              <w:t>2.2 Theoretical Overview</w:t>
            </w:r>
            <w:r w:rsidR="00143FD2">
              <w:rPr>
                <w:noProof/>
              </w:rPr>
              <w:tab/>
            </w:r>
            <w:r w:rsidR="00143FD2">
              <w:rPr>
                <w:noProof/>
              </w:rPr>
              <w:fldChar w:fldCharType="begin"/>
            </w:r>
            <w:r w:rsidR="00143FD2">
              <w:rPr>
                <w:noProof/>
              </w:rPr>
              <w:instrText xml:space="preserve"> PAGEREF _Toc241018034 \h </w:instrText>
            </w:r>
            <w:r w:rsidR="00143FD2">
              <w:rPr>
                <w:noProof/>
              </w:rPr>
            </w:r>
            <w:r w:rsidR="00143FD2">
              <w:rPr>
                <w:noProof/>
              </w:rPr>
              <w:fldChar w:fldCharType="separate"/>
            </w:r>
            <w:r w:rsidR="00143FD2">
              <w:rPr>
                <w:noProof/>
              </w:rPr>
              <w:t>16</w:t>
            </w:r>
            <w:r w:rsidR="00143FD2">
              <w:rPr>
                <w:noProof/>
              </w:rPr>
              <w:fldChar w:fldCharType="end"/>
            </w:r>
          </w:hyperlink>
        </w:p>
        <w:p w14:paraId="0560CC1D" w14:textId="0691BC93" w:rsidR="00143FD2" w:rsidRDefault="00B60110">
          <w:pPr>
            <w:pStyle w:val="TOC3"/>
            <w:tabs>
              <w:tab w:val="right" w:leader="dot" w:pos="9016"/>
            </w:tabs>
            <w:rPr>
              <w:rFonts w:asciiTheme="minorHAnsi" w:eastAsiaTheme="minorEastAsia" w:hAnsiTheme="minorHAnsi" w:cstheme="minorBidi"/>
              <w:noProof/>
              <w:color w:val="auto"/>
              <w:sz w:val="22"/>
              <w:szCs w:val="22"/>
            </w:rPr>
          </w:pPr>
          <w:hyperlink w:anchor="_Toc241018035" w:history="1">
            <w:r w:rsidR="00143FD2">
              <w:rPr>
                <w:rStyle w:val="Hyperlink"/>
                <w:noProof/>
              </w:rPr>
              <w:t>2.2.1 Spillover Theory</w:t>
            </w:r>
            <w:r w:rsidR="00143FD2">
              <w:rPr>
                <w:noProof/>
              </w:rPr>
              <w:tab/>
            </w:r>
            <w:r w:rsidR="00143FD2">
              <w:rPr>
                <w:noProof/>
              </w:rPr>
              <w:fldChar w:fldCharType="begin"/>
            </w:r>
            <w:r w:rsidR="00143FD2">
              <w:rPr>
                <w:noProof/>
              </w:rPr>
              <w:instrText xml:space="preserve"> PAGEREF _Toc241018035 \h </w:instrText>
            </w:r>
            <w:r w:rsidR="00143FD2">
              <w:rPr>
                <w:noProof/>
              </w:rPr>
            </w:r>
            <w:r w:rsidR="00143FD2">
              <w:rPr>
                <w:noProof/>
              </w:rPr>
              <w:fldChar w:fldCharType="separate"/>
            </w:r>
            <w:r w:rsidR="00143FD2">
              <w:rPr>
                <w:noProof/>
              </w:rPr>
              <w:t>16</w:t>
            </w:r>
            <w:r w:rsidR="00143FD2">
              <w:rPr>
                <w:noProof/>
              </w:rPr>
              <w:fldChar w:fldCharType="end"/>
            </w:r>
          </w:hyperlink>
        </w:p>
        <w:p w14:paraId="6D833293" w14:textId="21E8BFB0" w:rsidR="00143FD2" w:rsidRDefault="00B60110">
          <w:pPr>
            <w:pStyle w:val="TOC3"/>
            <w:tabs>
              <w:tab w:val="right" w:leader="dot" w:pos="9016"/>
            </w:tabs>
            <w:rPr>
              <w:rFonts w:asciiTheme="minorHAnsi" w:eastAsiaTheme="minorEastAsia" w:hAnsiTheme="minorHAnsi" w:cstheme="minorBidi"/>
              <w:noProof/>
              <w:color w:val="auto"/>
              <w:sz w:val="22"/>
              <w:szCs w:val="22"/>
            </w:rPr>
          </w:pPr>
          <w:hyperlink w:anchor="_Toc241018036" w:history="1">
            <w:r w:rsidR="00143FD2">
              <w:rPr>
                <w:rStyle w:val="Hyperlink"/>
                <w:noProof/>
              </w:rPr>
              <w:t>2.2.2 The Job Demands-Resources (JD-R) Model</w:t>
            </w:r>
            <w:r w:rsidR="00143FD2">
              <w:rPr>
                <w:noProof/>
              </w:rPr>
              <w:tab/>
            </w:r>
            <w:r w:rsidR="00143FD2">
              <w:rPr>
                <w:noProof/>
              </w:rPr>
              <w:fldChar w:fldCharType="begin"/>
            </w:r>
            <w:r w:rsidR="00143FD2">
              <w:rPr>
                <w:noProof/>
              </w:rPr>
              <w:instrText xml:space="preserve"> PAGEREF _Toc241018036 \h </w:instrText>
            </w:r>
            <w:r w:rsidR="00143FD2">
              <w:rPr>
                <w:noProof/>
              </w:rPr>
            </w:r>
            <w:r w:rsidR="00143FD2">
              <w:rPr>
                <w:noProof/>
              </w:rPr>
              <w:fldChar w:fldCharType="separate"/>
            </w:r>
            <w:r w:rsidR="00143FD2">
              <w:rPr>
                <w:noProof/>
              </w:rPr>
              <w:t>17</w:t>
            </w:r>
            <w:r w:rsidR="00143FD2">
              <w:rPr>
                <w:noProof/>
              </w:rPr>
              <w:fldChar w:fldCharType="end"/>
            </w:r>
          </w:hyperlink>
        </w:p>
        <w:p w14:paraId="5D381A86" w14:textId="3FD81905" w:rsidR="00143FD2" w:rsidRDefault="00B60110">
          <w:pPr>
            <w:pStyle w:val="TOC3"/>
            <w:tabs>
              <w:tab w:val="right" w:leader="dot" w:pos="9016"/>
            </w:tabs>
            <w:rPr>
              <w:rFonts w:asciiTheme="minorHAnsi" w:eastAsiaTheme="minorEastAsia" w:hAnsiTheme="minorHAnsi" w:cstheme="minorBidi"/>
              <w:noProof/>
              <w:color w:val="auto"/>
              <w:sz w:val="22"/>
              <w:szCs w:val="22"/>
            </w:rPr>
          </w:pPr>
          <w:hyperlink w:anchor="_Toc241018037" w:history="1">
            <w:r w:rsidR="00143FD2">
              <w:rPr>
                <w:rStyle w:val="Hyperlink"/>
                <w:noProof/>
              </w:rPr>
              <w:t>2.2.3 Kahn's Theory of Personal Engagement</w:t>
            </w:r>
            <w:r w:rsidR="00143FD2">
              <w:rPr>
                <w:noProof/>
              </w:rPr>
              <w:tab/>
            </w:r>
            <w:r w:rsidR="00143FD2">
              <w:rPr>
                <w:noProof/>
              </w:rPr>
              <w:fldChar w:fldCharType="begin"/>
            </w:r>
            <w:r w:rsidR="00143FD2">
              <w:rPr>
                <w:noProof/>
              </w:rPr>
              <w:instrText xml:space="preserve"> PAGEREF _Toc241018037 \h </w:instrText>
            </w:r>
            <w:r w:rsidR="00143FD2">
              <w:rPr>
                <w:noProof/>
              </w:rPr>
            </w:r>
            <w:r w:rsidR="00143FD2">
              <w:rPr>
                <w:noProof/>
              </w:rPr>
              <w:fldChar w:fldCharType="separate"/>
            </w:r>
            <w:r w:rsidR="00143FD2">
              <w:rPr>
                <w:noProof/>
              </w:rPr>
              <w:t>18</w:t>
            </w:r>
            <w:r w:rsidR="00143FD2">
              <w:rPr>
                <w:noProof/>
              </w:rPr>
              <w:fldChar w:fldCharType="end"/>
            </w:r>
          </w:hyperlink>
        </w:p>
        <w:p w14:paraId="4C5E80E3" w14:textId="4318D54B" w:rsidR="00143FD2" w:rsidRDefault="00B60110">
          <w:pPr>
            <w:pStyle w:val="TOC3"/>
            <w:tabs>
              <w:tab w:val="right" w:leader="dot" w:pos="9016"/>
            </w:tabs>
            <w:rPr>
              <w:rFonts w:asciiTheme="minorHAnsi" w:eastAsiaTheme="minorEastAsia" w:hAnsiTheme="minorHAnsi" w:cstheme="minorBidi"/>
              <w:noProof/>
              <w:color w:val="auto"/>
              <w:sz w:val="22"/>
              <w:szCs w:val="22"/>
            </w:rPr>
          </w:pPr>
          <w:hyperlink w:anchor="_Toc241018038" w:history="1">
            <w:r w:rsidR="00143FD2">
              <w:rPr>
                <w:rStyle w:val="Hyperlink"/>
                <w:noProof/>
              </w:rPr>
              <w:t>2.2.4 The Theoretical Intersection of Policy Failure</w:t>
            </w:r>
            <w:r w:rsidR="00143FD2">
              <w:rPr>
                <w:noProof/>
              </w:rPr>
              <w:tab/>
            </w:r>
            <w:r w:rsidR="00143FD2">
              <w:rPr>
                <w:noProof/>
              </w:rPr>
              <w:fldChar w:fldCharType="begin"/>
            </w:r>
            <w:r w:rsidR="00143FD2">
              <w:rPr>
                <w:noProof/>
              </w:rPr>
              <w:instrText xml:space="preserve"> PAGEREF _Toc241018038 \h </w:instrText>
            </w:r>
            <w:r w:rsidR="00143FD2">
              <w:rPr>
                <w:noProof/>
              </w:rPr>
            </w:r>
            <w:r w:rsidR="00143FD2">
              <w:rPr>
                <w:noProof/>
              </w:rPr>
              <w:fldChar w:fldCharType="separate"/>
            </w:r>
            <w:r w:rsidR="00143FD2">
              <w:rPr>
                <w:noProof/>
              </w:rPr>
              <w:t>18</w:t>
            </w:r>
            <w:r w:rsidR="00143FD2">
              <w:rPr>
                <w:noProof/>
              </w:rPr>
              <w:fldChar w:fldCharType="end"/>
            </w:r>
          </w:hyperlink>
        </w:p>
        <w:p w14:paraId="6083681E" w14:textId="7550F1C8" w:rsidR="00143FD2" w:rsidRDefault="00B60110">
          <w:pPr>
            <w:pStyle w:val="TOC2"/>
            <w:tabs>
              <w:tab w:val="right" w:leader="dot" w:pos="9016"/>
            </w:tabs>
            <w:rPr>
              <w:rFonts w:asciiTheme="minorHAnsi" w:eastAsiaTheme="minorEastAsia" w:hAnsiTheme="minorHAnsi" w:cstheme="minorBidi"/>
              <w:noProof/>
              <w:color w:val="auto"/>
              <w:sz w:val="22"/>
              <w:szCs w:val="22"/>
            </w:rPr>
          </w:pPr>
          <w:hyperlink w:anchor="_Toc241018039" w:history="1">
            <w:r w:rsidR="00143FD2">
              <w:rPr>
                <w:rStyle w:val="Hyperlink"/>
                <w:noProof/>
              </w:rPr>
              <w:t>2.3 The Cross-Sectoral Landscape of Work-Life Balance Policies</w:t>
            </w:r>
            <w:r w:rsidR="00143FD2">
              <w:rPr>
                <w:noProof/>
              </w:rPr>
              <w:tab/>
            </w:r>
            <w:r w:rsidR="00143FD2">
              <w:rPr>
                <w:noProof/>
              </w:rPr>
              <w:fldChar w:fldCharType="begin"/>
            </w:r>
            <w:r w:rsidR="00143FD2">
              <w:rPr>
                <w:noProof/>
              </w:rPr>
              <w:instrText xml:space="preserve"> PAGEREF _Toc241018039 \h </w:instrText>
            </w:r>
            <w:r w:rsidR="00143FD2">
              <w:rPr>
                <w:noProof/>
              </w:rPr>
            </w:r>
            <w:r w:rsidR="00143FD2">
              <w:rPr>
                <w:noProof/>
              </w:rPr>
              <w:fldChar w:fldCharType="separate"/>
            </w:r>
            <w:r w:rsidR="00143FD2">
              <w:rPr>
                <w:noProof/>
              </w:rPr>
              <w:t>19</w:t>
            </w:r>
            <w:r w:rsidR="00143FD2">
              <w:rPr>
                <w:noProof/>
              </w:rPr>
              <w:fldChar w:fldCharType="end"/>
            </w:r>
          </w:hyperlink>
        </w:p>
        <w:p w14:paraId="2C3E3711" w14:textId="06BB2A31" w:rsidR="00143FD2" w:rsidRDefault="00B60110">
          <w:pPr>
            <w:pStyle w:val="TOC2"/>
            <w:tabs>
              <w:tab w:val="right" w:leader="dot" w:pos="9016"/>
            </w:tabs>
            <w:rPr>
              <w:rFonts w:asciiTheme="minorHAnsi" w:eastAsiaTheme="minorEastAsia" w:hAnsiTheme="minorHAnsi" w:cstheme="minorBidi"/>
              <w:noProof/>
              <w:color w:val="auto"/>
              <w:sz w:val="22"/>
              <w:szCs w:val="22"/>
            </w:rPr>
          </w:pPr>
          <w:hyperlink w:anchor="_Toc241018040" w:history="1">
            <w:r w:rsidR="00143FD2">
              <w:rPr>
                <w:rStyle w:val="Hyperlink"/>
                <w:noProof/>
              </w:rPr>
              <w:t>2.4 The Psychological Impact of WLB on Employee Engagement</w:t>
            </w:r>
            <w:r w:rsidR="00143FD2">
              <w:rPr>
                <w:noProof/>
              </w:rPr>
              <w:tab/>
            </w:r>
            <w:r w:rsidR="00143FD2">
              <w:rPr>
                <w:noProof/>
              </w:rPr>
              <w:fldChar w:fldCharType="begin"/>
            </w:r>
            <w:r w:rsidR="00143FD2">
              <w:rPr>
                <w:noProof/>
              </w:rPr>
              <w:instrText xml:space="preserve"> PAGEREF _Toc241018040 \h </w:instrText>
            </w:r>
            <w:r w:rsidR="00143FD2">
              <w:rPr>
                <w:noProof/>
              </w:rPr>
            </w:r>
            <w:r w:rsidR="00143FD2">
              <w:rPr>
                <w:noProof/>
              </w:rPr>
              <w:fldChar w:fldCharType="separate"/>
            </w:r>
            <w:r w:rsidR="00143FD2">
              <w:rPr>
                <w:noProof/>
              </w:rPr>
              <w:t>21</w:t>
            </w:r>
            <w:r w:rsidR="00143FD2">
              <w:rPr>
                <w:noProof/>
              </w:rPr>
              <w:fldChar w:fldCharType="end"/>
            </w:r>
          </w:hyperlink>
        </w:p>
        <w:p w14:paraId="69D35DCA" w14:textId="38508A75" w:rsidR="00143FD2" w:rsidRDefault="00B60110">
          <w:pPr>
            <w:pStyle w:val="TOC2"/>
            <w:tabs>
              <w:tab w:val="right" w:leader="dot" w:pos="9016"/>
            </w:tabs>
            <w:rPr>
              <w:rFonts w:asciiTheme="minorHAnsi" w:eastAsiaTheme="minorEastAsia" w:hAnsiTheme="minorHAnsi" w:cstheme="minorBidi"/>
              <w:noProof/>
              <w:color w:val="auto"/>
              <w:sz w:val="22"/>
              <w:szCs w:val="22"/>
            </w:rPr>
          </w:pPr>
          <w:hyperlink w:anchor="_Toc241018041" w:history="1">
            <w:r w:rsidR="00143FD2">
              <w:rPr>
                <w:rStyle w:val="Hyperlink"/>
                <w:noProof/>
              </w:rPr>
              <w:t>2.5 The Nexus Between Policy Effectiveness and Workforce Retention</w:t>
            </w:r>
            <w:r w:rsidR="00143FD2">
              <w:rPr>
                <w:noProof/>
              </w:rPr>
              <w:tab/>
            </w:r>
            <w:r w:rsidR="00143FD2">
              <w:rPr>
                <w:noProof/>
              </w:rPr>
              <w:fldChar w:fldCharType="begin"/>
            </w:r>
            <w:r w:rsidR="00143FD2">
              <w:rPr>
                <w:noProof/>
              </w:rPr>
              <w:instrText xml:space="preserve"> PAGEREF _Toc241018041 \h </w:instrText>
            </w:r>
            <w:r w:rsidR="00143FD2">
              <w:rPr>
                <w:noProof/>
              </w:rPr>
            </w:r>
            <w:r w:rsidR="00143FD2">
              <w:rPr>
                <w:noProof/>
              </w:rPr>
              <w:fldChar w:fldCharType="separate"/>
            </w:r>
            <w:r w:rsidR="00143FD2">
              <w:rPr>
                <w:noProof/>
              </w:rPr>
              <w:t>23</w:t>
            </w:r>
            <w:r w:rsidR="00143FD2">
              <w:rPr>
                <w:noProof/>
              </w:rPr>
              <w:fldChar w:fldCharType="end"/>
            </w:r>
          </w:hyperlink>
        </w:p>
        <w:p w14:paraId="6CC20DAF" w14:textId="18D6EC46" w:rsidR="00143FD2" w:rsidRDefault="00B60110">
          <w:pPr>
            <w:pStyle w:val="TOC2"/>
            <w:tabs>
              <w:tab w:val="right" w:leader="dot" w:pos="9016"/>
            </w:tabs>
            <w:rPr>
              <w:rFonts w:asciiTheme="minorHAnsi" w:eastAsiaTheme="minorEastAsia" w:hAnsiTheme="minorHAnsi" w:cstheme="minorBidi"/>
              <w:noProof/>
              <w:color w:val="auto"/>
              <w:sz w:val="22"/>
              <w:szCs w:val="22"/>
            </w:rPr>
          </w:pPr>
          <w:hyperlink w:anchor="_Toc241018042" w:history="1">
            <w:r w:rsidR="00143FD2">
              <w:rPr>
                <w:rStyle w:val="Hyperlink"/>
                <w:noProof/>
              </w:rPr>
              <w:t>2.6 Summary and Conceptual Framework Adopted</w:t>
            </w:r>
            <w:r w:rsidR="00143FD2">
              <w:rPr>
                <w:noProof/>
              </w:rPr>
              <w:tab/>
            </w:r>
            <w:r w:rsidR="00143FD2">
              <w:rPr>
                <w:noProof/>
              </w:rPr>
              <w:fldChar w:fldCharType="begin"/>
            </w:r>
            <w:r w:rsidR="00143FD2">
              <w:rPr>
                <w:noProof/>
              </w:rPr>
              <w:instrText xml:space="preserve"> PAGEREF _Toc241018042 \h </w:instrText>
            </w:r>
            <w:r w:rsidR="00143FD2">
              <w:rPr>
                <w:noProof/>
              </w:rPr>
            </w:r>
            <w:r w:rsidR="00143FD2">
              <w:rPr>
                <w:noProof/>
              </w:rPr>
              <w:fldChar w:fldCharType="separate"/>
            </w:r>
            <w:r w:rsidR="00143FD2">
              <w:rPr>
                <w:noProof/>
              </w:rPr>
              <w:t>24</w:t>
            </w:r>
            <w:r w:rsidR="00143FD2">
              <w:rPr>
                <w:noProof/>
              </w:rPr>
              <w:fldChar w:fldCharType="end"/>
            </w:r>
          </w:hyperlink>
        </w:p>
        <w:p w14:paraId="6B93E3B7" w14:textId="293DBDD6" w:rsidR="00143FD2" w:rsidRDefault="00B60110">
          <w:pPr>
            <w:pStyle w:val="TOC1"/>
            <w:tabs>
              <w:tab w:val="right" w:leader="dot" w:pos="9016"/>
            </w:tabs>
            <w:rPr>
              <w:rFonts w:asciiTheme="minorHAnsi" w:eastAsiaTheme="minorEastAsia" w:hAnsiTheme="minorHAnsi" w:cstheme="minorBidi"/>
              <w:noProof/>
              <w:color w:val="auto"/>
              <w:sz w:val="22"/>
              <w:szCs w:val="22"/>
            </w:rPr>
          </w:pPr>
          <w:hyperlink w:anchor="_Toc241018043" w:history="1">
            <w:r w:rsidR="00143FD2">
              <w:rPr>
                <w:rStyle w:val="Hyperlink"/>
                <w:noProof/>
              </w:rPr>
              <w:t>Chapter Three: Research Methodology</w:t>
            </w:r>
            <w:r w:rsidR="00143FD2">
              <w:rPr>
                <w:noProof/>
              </w:rPr>
              <w:tab/>
            </w:r>
            <w:r w:rsidR="00143FD2">
              <w:rPr>
                <w:noProof/>
              </w:rPr>
              <w:fldChar w:fldCharType="begin"/>
            </w:r>
            <w:r w:rsidR="00143FD2">
              <w:rPr>
                <w:noProof/>
              </w:rPr>
              <w:instrText xml:space="preserve"> PAGEREF _Toc241018043 \h </w:instrText>
            </w:r>
            <w:r w:rsidR="00143FD2">
              <w:rPr>
                <w:noProof/>
              </w:rPr>
            </w:r>
            <w:r w:rsidR="00143FD2">
              <w:rPr>
                <w:noProof/>
              </w:rPr>
              <w:fldChar w:fldCharType="separate"/>
            </w:r>
            <w:r w:rsidR="00143FD2">
              <w:rPr>
                <w:noProof/>
              </w:rPr>
              <w:t>26</w:t>
            </w:r>
            <w:r w:rsidR="00143FD2">
              <w:rPr>
                <w:noProof/>
              </w:rPr>
              <w:fldChar w:fldCharType="end"/>
            </w:r>
          </w:hyperlink>
        </w:p>
        <w:p w14:paraId="2393C81C" w14:textId="1C9B5DD9" w:rsidR="00143FD2" w:rsidRDefault="00B60110">
          <w:pPr>
            <w:pStyle w:val="TOC2"/>
            <w:tabs>
              <w:tab w:val="right" w:leader="dot" w:pos="9016"/>
            </w:tabs>
            <w:rPr>
              <w:rFonts w:asciiTheme="minorHAnsi" w:eastAsiaTheme="minorEastAsia" w:hAnsiTheme="minorHAnsi" w:cstheme="minorBidi"/>
              <w:noProof/>
              <w:color w:val="auto"/>
              <w:sz w:val="22"/>
              <w:szCs w:val="22"/>
            </w:rPr>
          </w:pPr>
          <w:hyperlink w:anchor="_Toc241018044" w:history="1">
            <w:r w:rsidR="00143FD2">
              <w:rPr>
                <w:rStyle w:val="Hyperlink"/>
                <w:noProof/>
              </w:rPr>
              <w:t>3.1 Introduction</w:t>
            </w:r>
            <w:r w:rsidR="00143FD2">
              <w:rPr>
                <w:noProof/>
              </w:rPr>
              <w:tab/>
            </w:r>
            <w:r w:rsidR="00143FD2">
              <w:rPr>
                <w:noProof/>
              </w:rPr>
              <w:fldChar w:fldCharType="begin"/>
            </w:r>
            <w:r w:rsidR="00143FD2">
              <w:rPr>
                <w:noProof/>
              </w:rPr>
              <w:instrText xml:space="preserve"> PAGEREF _Toc241018044 \h </w:instrText>
            </w:r>
            <w:r w:rsidR="00143FD2">
              <w:rPr>
                <w:noProof/>
              </w:rPr>
            </w:r>
            <w:r w:rsidR="00143FD2">
              <w:rPr>
                <w:noProof/>
              </w:rPr>
              <w:fldChar w:fldCharType="separate"/>
            </w:r>
            <w:r w:rsidR="00143FD2">
              <w:rPr>
                <w:noProof/>
              </w:rPr>
              <w:t>26</w:t>
            </w:r>
            <w:r w:rsidR="00143FD2">
              <w:rPr>
                <w:noProof/>
              </w:rPr>
              <w:fldChar w:fldCharType="end"/>
            </w:r>
          </w:hyperlink>
        </w:p>
        <w:p w14:paraId="7770B1E9" w14:textId="4126FB15" w:rsidR="00143FD2" w:rsidRDefault="00B60110">
          <w:pPr>
            <w:pStyle w:val="TOC2"/>
            <w:tabs>
              <w:tab w:val="right" w:leader="dot" w:pos="9016"/>
            </w:tabs>
            <w:rPr>
              <w:rFonts w:asciiTheme="minorHAnsi" w:eastAsiaTheme="minorEastAsia" w:hAnsiTheme="minorHAnsi" w:cstheme="minorBidi"/>
              <w:noProof/>
              <w:color w:val="auto"/>
              <w:sz w:val="22"/>
              <w:szCs w:val="22"/>
            </w:rPr>
          </w:pPr>
          <w:hyperlink w:anchor="_Toc241018045" w:history="1">
            <w:r w:rsidR="00143FD2">
              <w:rPr>
                <w:rStyle w:val="Hyperlink"/>
                <w:noProof/>
              </w:rPr>
              <w:t>3.2 Research Aim and Objectives</w:t>
            </w:r>
            <w:r w:rsidR="00143FD2">
              <w:rPr>
                <w:noProof/>
              </w:rPr>
              <w:tab/>
            </w:r>
            <w:r w:rsidR="00143FD2">
              <w:rPr>
                <w:noProof/>
              </w:rPr>
              <w:fldChar w:fldCharType="begin"/>
            </w:r>
            <w:r w:rsidR="00143FD2">
              <w:rPr>
                <w:noProof/>
              </w:rPr>
              <w:instrText xml:space="preserve"> PAGEREF _Toc241018045 \h </w:instrText>
            </w:r>
            <w:r w:rsidR="00143FD2">
              <w:rPr>
                <w:noProof/>
              </w:rPr>
            </w:r>
            <w:r w:rsidR="00143FD2">
              <w:rPr>
                <w:noProof/>
              </w:rPr>
              <w:fldChar w:fldCharType="separate"/>
            </w:r>
            <w:r w:rsidR="00143FD2">
              <w:rPr>
                <w:noProof/>
              </w:rPr>
              <w:t>26</w:t>
            </w:r>
            <w:r w:rsidR="00143FD2">
              <w:rPr>
                <w:noProof/>
              </w:rPr>
              <w:fldChar w:fldCharType="end"/>
            </w:r>
          </w:hyperlink>
        </w:p>
        <w:p w14:paraId="39662C62" w14:textId="02E66C74" w:rsidR="00143FD2" w:rsidRDefault="00B60110">
          <w:pPr>
            <w:pStyle w:val="TOC2"/>
            <w:tabs>
              <w:tab w:val="right" w:leader="dot" w:pos="9016"/>
            </w:tabs>
            <w:rPr>
              <w:rFonts w:asciiTheme="minorHAnsi" w:eastAsiaTheme="minorEastAsia" w:hAnsiTheme="minorHAnsi" w:cstheme="minorBidi"/>
              <w:noProof/>
              <w:color w:val="auto"/>
              <w:sz w:val="22"/>
              <w:szCs w:val="22"/>
            </w:rPr>
          </w:pPr>
          <w:hyperlink w:anchor="_Toc241018046" w:history="1">
            <w:r w:rsidR="00143FD2">
              <w:rPr>
                <w:rStyle w:val="Hyperlink"/>
                <w:noProof/>
              </w:rPr>
              <w:t>3.3 Research Rationale</w:t>
            </w:r>
            <w:r w:rsidR="00143FD2">
              <w:rPr>
                <w:noProof/>
              </w:rPr>
              <w:tab/>
            </w:r>
            <w:r w:rsidR="00143FD2">
              <w:rPr>
                <w:noProof/>
              </w:rPr>
              <w:fldChar w:fldCharType="begin"/>
            </w:r>
            <w:r w:rsidR="00143FD2">
              <w:rPr>
                <w:noProof/>
              </w:rPr>
              <w:instrText xml:space="preserve"> PAGEREF _Toc241018046 \h </w:instrText>
            </w:r>
            <w:r w:rsidR="00143FD2">
              <w:rPr>
                <w:noProof/>
              </w:rPr>
            </w:r>
            <w:r w:rsidR="00143FD2">
              <w:rPr>
                <w:noProof/>
              </w:rPr>
              <w:fldChar w:fldCharType="separate"/>
            </w:r>
            <w:r w:rsidR="00143FD2">
              <w:rPr>
                <w:noProof/>
              </w:rPr>
              <w:t>27</w:t>
            </w:r>
            <w:r w:rsidR="00143FD2">
              <w:rPr>
                <w:noProof/>
              </w:rPr>
              <w:fldChar w:fldCharType="end"/>
            </w:r>
          </w:hyperlink>
        </w:p>
        <w:p w14:paraId="1FC18571" w14:textId="62A0A58C" w:rsidR="00143FD2" w:rsidRDefault="00B60110">
          <w:pPr>
            <w:pStyle w:val="TOC2"/>
            <w:tabs>
              <w:tab w:val="right" w:leader="dot" w:pos="9016"/>
            </w:tabs>
            <w:rPr>
              <w:rFonts w:asciiTheme="minorHAnsi" w:eastAsiaTheme="minorEastAsia" w:hAnsiTheme="minorHAnsi" w:cstheme="minorBidi"/>
              <w:noProof/>
              <w:color w:val="auto"/>
              <w:sz w:val="22"/>
              <w:szCs w:val="22"/>
            </w:rPr>
          </w:pPr>
          <w:hyperlink w:anchor="_Toc241018047" w:history="1">
            <w:r w:rsidR="00143FD2">
              <w:rPr>
                <w:rStyle w:val="Hyperlink"/>
                <w:noProof/>
              </w:rPr>
              <w:t>3.4 Research Design</w:t>
            </w:r>
            <w:r w:rsidR="00143FD2">
              <w:rPr>
                <w:noProof/>
              </w:rPr>
              <w:tab/>
            </w:r>
            <w:r w:rsidR="00143FD2">
              <w:rPr>
                <w:noProof/>
              </w:rPr>
              <w:fldChar w:fldCharType="begin"/>
            </w:r>
            <w:r w:rsidR="00143FD2">
              <w:rPr>
                <w:noProof/>
              </w:rPr>
              <w:instrText xml:space="preserve"> PAGEREF _Toc241018047 \h </w:instrText>
            </w:r>
            <w:r w:rsidR="00143FD2">
              <w:rPr>
                <w:noProof/>
              </w:rPr>
            </w:r>
            <w:r w:rsidR="00143FD2">
              <w:rPr>
                <w:noProof/>
              </w:rPr>
              <w:fldChar w:fldCharType="separate"/>
            </w:r>
            <w:r w:rsidR="00143FD2">
              <w:rPr>
                <w:noProof/>
              </w:rPr>
              <w:t>27</w:t>
            </w:r>
            <w:r w:rsidR="00143FD2">
              <w:rPr>
                <w:noProof/>
              </w:rPr>
              <w:fldChar w:fldCharType="end"/>
            </w:r>
          </w:hyperlink>
        </w:p>
        <w:p w14:paraId="5E2911B9" w14:textId="252C040A" w:rsidR="00143FD2" w:rsidRDefault="00B60110">
          <w:pPr>
            <w:pStyle w:val="TOC2"/>
            <w:tabs>
              <w:tab w:val="right" w:leader="dot" w:pos="9016"/>
            </w:tabs>
            <w:rPr>
              <w:rFonts w:asciiTheme="minorHAnsi" w:eastAsiaTheme="minorEastAsia" w:hAnsiTheme="minorHAnsi" w:cstheme="minorBidi"/>
              <w:noProof/>
              <w:color w:val="auto"/>
              <w:sz w:val="22"/>
              <w:szCs w:val="22"/>
            </w:rPr>
          </w:pPr>
          <w:hyperlink w:anchor="_Toc241018048" w:history="1">
            <w:r w:rsidR="00143FD2">
              <w:rPr>
                <w:rStyle w:val="Hyperlink"/>
                <w:noProof/>
              </w:rPr>
              <w:t>3.5 Research Philosophy and Approach</w:t>
            </w:r>
            <w:r w:rsidR="00143FD2">
              <w:rPr>
                <w:noProof/>
              </w:rPr>
              <w:tab/>
            </w:r>
            <w:r w:rsidR="00143FD2">
              <w:rPr>
                <w:noProof/>
              </w:rPr>
              <w:fldChar w:fldCharType="begin"/>
            </w:r>
            <w:r w:rsidR="00143FD2">
              <w:rPr>
                <w:noProof/>
              </w:rPr>
              <w:instrText xml:space="preserve"> PAGEREF _Toc241018048 \h </w:instrText>
            </w:r>
            <w:r w:rsidR="00143FD2">
              <w:rPr>
                <w:noProof/>
              </w:rPr>
            </w:r>
            <w:r w:rsidR="00143FD2">
              <w:rPr>
                <w:noProof/>
              </w:rPr>
              <w:fldChar w:fldCharType="separate"/>
            </w:r>
            <w:r w:rsidR="00143FD2">
              <w:rPr>
                <w:noProof/>
              </w:rPr>
              <w:t>29</w:t>
            </w:r>
            <w:r w:rsidR="00143FD2">
              <w:rPr>
                <w:noProof/>
              </w:rPr>
              <w:fldChar w:fldCharType="end"/>
            </w:r>
          </w:hyperlink>
        </w:p>
        <w:p w14:paraId="6899BF98" w14:textId="398D3DF6" w:rsidR="00143FD2" w:rsidRDefault="00B60110">
          <w:pPr>
            <w:pStyle w:val="TOC2"/>
            <w:tabs>
              <w:tab w:val="right" w:leader="dot" w:pos="9016"/>
            </w:tabs>
            <w:rPr>
              <w:rFonts w:asciiTheme="minorHAnsi" w:eastAsiaTheme="minorEastAsia" w:hAnsiTheme="minorHAnsi" w:cstheme="minorBidi"/>
              <w:noProof/>
              <w:color w:val="auto"/>
              <w:sz w:val="22"/>
              <w:szCs w:val="22"/>
            </w:rPr>
          </w:pPr>
          <w:hyperlink w:anchor="_Toc241018049" w:history="1">
            <w:r w:rsidR="00143FD2">
              <w:rPr>
                <w:rStyle w:val="Hyperlink"/>
                <w:noProof/>
              </w:rPr>
              <w:t>3.6 Data Collection</w:t>
            </w:r>
            <w:r w:rsidR="00143FD2">
              <w:rPr>
                <w:noProof/>
              </w:rPr>
              <w:tab/>
            </w:r>
            <w:r w:rsidR="00143FD2">
              <w:rPr>
                <w:noProof/>
              </w:rPr>
              <w:fldChar w:fldCharType="begin"/>
            </w:r>
            <w:r w:rsidR="00143FD2">
              <w:rPr>
                <w:noProof/>
              </w:rPr>
              <w:instrText xml:space="preserve"> PAGEREF _Toc241018049 \h </w:instrText>
            </w:r>
            <w:r w:rsidR="00143FD2">
              <w:rPr>
                <w:noProof/>
              </w:rPr>
            </w:r>
            <w:r w:rsidR="00143FD2">
              <w:rPr>
                <w:noProof/>
              </w:rPr>
              <w:fldChar w:fldCharType="separate"/>
            </w:r>
            <w:r w:rsidR="00143FD2">
              <w:rPr>
                <w:noProof/>
              </w:rPr>
              <w:t>30</w:t>
            </w:r>
            <w:r w:rsidR="00143FD2">
              <w:rPr>
                <w:noProof/>
              </w:rPr>
              <w:fldChar w:fldCharType="end"/>
            </w:r>
          </w:hyperlink>
        </w:p>
        <w:p w14:paraId="6D581ECE" w14:textId="52AFCBCB" w:rsidR="00143FD2" w:rsidRDefault="00B60110">
          <w:pPr>
            <w:pStyle w:val="TOC2"/>
            <w:tabs>
              <w:tab w:val="right" w:leader="dot" w:pos="9016"/>
            </w:tabs>
            <w:rPr>
              <w:rFonts w:asciiTheme="minorHAnsi" w:eastAsiaTheme="minorEastAsia" w:hAnsiTheme="minorHAnsi" w:cstheme="minorBidi"/>
              <w:noProof/>
              <w:color w:val="auto"/>
              <w:sz w:val="22"/>
              <w:szCs w:val="22"/>
            </w:rPr>
          </w:pPr>
          <w:hyperlink w:anchor="_Toc241018050" w:history="1">
            <w:r w:rsidR="00143FD2">
              <w:rPr>
                <w:rStyle w:val="Hyperlink"/>
                <w:noProof/>
              </w:rPr>
              <w:t>3.7 Population and Sample</w:t>
            </w:r>
            <w:r w:rsidR="00143FD2">
              <w:rPr>
                <w:noProof/>
              </w:rPr>
              <w:tab/>
            </w:r>
            <w:r w:rsidR="00143FD2">
              <w:rPr>
                <w:noProof/>
              </w:rPr>
              <w:fldChar w:fldCharType="begin"/>
            </w:r>
            <w:r w:rsidR="00143FD2">
              <w:rPr>
                <w:noProof/>
              </w:rPr>
              <w:instrText xml:space="preserve"> PAGEREF _Toc241018050 \h </w:instrText>
            </w:r>
            <w:r w:rsidR="00143FD2">
              <w:rPr>
                <w:noProof/>
              </w:rPr>
            </w:r>
            <w:r w:rsidR="00143FD2">
              <w:rPr>
                <w:noProof/>
              </w:rPr>
              <w:fldChar w:fldCharType="separate"/>
            </w:r>
            <w:r w:rsidR="00143FD2">
              <w:rPr>
                <w:noProof/>
              </w:rPr>
              <w:t>31</w:t>
            </w:r>
            <w:r w:rsidR="00143FD2">
              <w:rPr>
                <w:noProof/>
              </w:rPr>
              <w:fldChar w:fldCharType="end"/>
            </w:r>
          </w:hyperlink>
        </w:p>
        <w:p w14:paraId="68A2B6F3" w14:textId="0FA2C44E" w:rsidR="00143FD2" w:rsidRDefault="00B60110">
          <w:pPr>
            <w:pStyle w:val="TOC2"/>
            <w:tabs>
              <w:tab w:val="right" w:leader="dot" w:pos="9016"/>
            </w:tabs>
            <w:rPr>
              <w:rFonts w:asciiTheme="minorHAnsi" w:eastAsiaTheme="minorEastAsia" w:hAnsiTheme="minorHAnsi" w:cstheme="minorBidi"/>
              <w:noProof/>
              <w:color w:val="auto"/>
              <w:sz w:val="22"/>
              <w:szCs w:val="22"/>
            </w:rPr>
          </w:pPr>
          <w:hyperlink w:anchor="_Toc241018051" w:history="1">
            <w:r w:rsidR="00143FD2">
              <w:rPr>
                <w:rStyle w:val="Hyperlink"/>
                <w:noProof/>
              </w:rPr>
              <w:t>3.8 Data Analysis</w:t>
            </w:r>
            <w:r w:rsidR="00143FD2">
              <w:rPr>
                <w:noProof/>
              </w:rPr>
              <w:tab/>
            </w:r>
            <w:r w:rsidR="00143FD2">
              <w:rPr>
                <w:noProof/>
              </w:rPr>
              <w:fldChar w:fldCharType="begin"/>
            </w:r>
            <w:r w:rsidR="00143FD2">
              <w:rPr>
                <w:noProof/>
              </w:rPr>
              <w:instrText xml:space="preserve"> PAGEREF _Toc241018051 \h </w:instrText>
            </w:r>
            <w:r w:rsidR="00143FD2">
              <w:rPr>
                <w:noProof/>
              </w:rPr>
            </w:r>
            <w:r w:rsidR="00143FD2">
              <w:rPr>
                <w:noProof/>
              </w:rPr>
              <w:fldChar w:fldCharType="separate"/>
            </w:r>
            <w:r w:rsidR="00143FD2">
              <w:rPr>
                <w:noProof/>
              </w:rPr>
              <w:t>32</w:t>
            </w:r>
            <w:r w:rsidR="00143FD2">
              <w:rPr>
                <w:noProof/>
              </w:rPr>
              <w:fldChar w:fldCharType="end"/>
            </w:r>
          </w:hyperlink>
        </w:p>
        <w:p w14:paraId="45517AB1" w14:textId="41AC7C0B" w:rsidR="00143FD2" w:rsidRDefault="00B60110">
          <w:pPr>
            <w:pStyle w:val="TOC2"/>
            <w:tabs>
              <w:tab w:val="right" w:leader="dot" w:pos="9016"/>
            </w:tabs>
            <w:rPr>
              <w:rFonts w:asciiTheme="minorHAnsi" w:eastAsiaTheme="minorEastAsia" w:hAnsiTheme="minorHAnsi" w:cstheme="minorBidi"/>
              <w:noProof/>
              <w:color w:val="auto"/>
              <w:sz w:val="22"/>
              <w:szCs w:val="22"/>
            </w:rPr>
          </w:pPr>
          <w:hyperlink w:anchor="_Toc241018052" w:history="1">
            <w:r w:rsidR="00143FD2">
              <w:rPr>
                <w:rStyle w:val="Hyperlink"/>
                <w:noProof/>
              </w:rPr>
              <w:t>3.9 Reliability and Validity</w:t>
            </w:r>
            <w:r w:rsidR="00143FD2">
              <w:rPr>
                <w:noProof/>
              </w:rPr>
              <w:tab/>
            </w:r>
            <w:r w:rsidR="00143FD2">
              <w:rPr>
                <w:noProof/>
              </w:rPr>
              <w:fldChar w:fldCharType="begin"/>
            </w:r>
            <w:r w:rsidR="00143FD2">
              <w:rPr>
                <w:noProof/>
              </w:rPr>
              <w:instrText xml:space="preserve"> PAGEREF _Toc241018052 \h </w:instrText>
            </w:r>
            <w:r w:rsidR="00143FD2">
              <w:rPr>
                <w:noProof/>
              </w:rPr>
            </w:r>
            <w:r w:rsidR="00143FD2">
              <w:rPr>
                <w:noProof/>
              </w:rPr>
              <w:fldChar w:fldCharType="separate"/>
            </w:r>
            <w:r w:rsidR="00143FD2">
              <w:rPr>
                <w:noProof/>
              </w:rPr>
              <w:t>33</w:t>
            </w:r>
            <w:r w:rsidR="00143FD2">
              <w:rPr>
                <w:noProof/>
              </w:rPr>
              <w:fldChar w:fldCharType="end"/>
            </w:r>
          </w:hyperlink>
        </w:p>
        <w:p w14:paraId="61DCC026" w14:textId="7FCBFEDD" w:rsidR="00143FD2" w:rsidRDefault="00B60110">
          <w:pPr>
            <w:pStyle w:val="TOC2"/>
            <w:tabs>
              <w:tab w:val="right" w:leader="dot" w:pos="9016"/>
            </w:tabs>
            <w:rPr>
              <w:rFonts w:asciiTheme="minorHAnsi" w:eastAsiaTheme="minorEastAsia" w:hAnsiTheme="minorHAnsi" w:cstheme="minorBidi"/>
              <w:noProof/>
              <w:color w:val="auto"/>
              <w:sz w:val="22"/>
              <w:szCs w:val="22"/>
            </w:rPr>
          </w:pPr>
          <w:hyperlink w:anchor="_Toc241018053" w:history="1">
            <w:r w:rsidR="00143FD2">
              <w:rPr>
                <w:rStyle w:val="Hyperlink"/>
                <w:noProof/>
              </w:rPr>
              <w:t>3.10 Limitations of the Research</w:t>
            </w:r>
            <w:r w:rsidR="00143FD2">
              <w:rPr>
                <w:noProof/>
              </w:rPr>
              <w:tab/>
            </w:r>
            <w:r w:rsidR="00143FD2">
              <w:rPr>
                <w:noProof/>
              </w:rPr>
              <w:fldChar w:fldCharType="begin"/>
            </w:r>
            <w:r w:rsidR="00143FD2">
              <w:rPr>
                <w:noProof/>
              </w:rPr>
              <w:instrText xml:space="preserve"> PAGEREF _Toc241018053 \h </w:instrText>
            </w:r>
            <w:r w:rsidR="00143FD2">
              <w:rPr>
                <w:noProof/>
              </w:rPr>
            </w:r>
            <w:r w:rsidR="00143FD2">
              <w:rPr>
                <w:noProof/>
              </w:rPr>
              <w:fldChar w:fldCharType="separate"/>
            </w:r>
            <w:r w:rsidR="00143FD2">
              <w:rPr>
                <w:noProof/>
              </w:rPr>
              <w:t>33</w:t>
            </w:r>
            <w:r w:rsidR="00143FD2">
              <w:rPr>
                <w:noProof/>
              </w:rPr>
              <w:fldChar w:fldCharType="end"/>
            </w:r>
          </w:hyperlink>
        </w:p>
        <w:p w14:paraId="6CC46890" w14:textId="44D73A3F" w:rsidR="00143FD2" w:rsidRDefault="00B60110">
          <w:pPr>
            <w:pStyle w:val="TOC2"/>
            <w:tabs>
              <w:tab w:val="right" w:leader="dot" w:pos="9016"/>
            </w:tabs>
            <w:rPr>
              <w:rFonts w:asciiTheme="minorHAnsi" w:eastAsiaTheme="minorEastAsia" w:hAnsiTheme="minorHAnsi" w:cstheme="minorBidi"/>
              <w:noProof/>
              <w:color w:val="auto"/>
              <w:sz w:val="22"/>
              <w:szCs w:val="22"/>
            </w:rPr>
          </w:pPr>
          <w:hyperlink w:anchor="_Toc241018054" w:history="1">
            <w:r w:rsidR="00143FD2">
              <w:rPr>
                <w:rStyle w:val="Hyperlink"/>
                <w:noProof/>
              </w:rPr>
              <w:t>3.11 Research Ethics</w:t>
            </w:r>
            <w:r w:rsidR="00143FD2">
              <w:rPr>
                <w:noProof/>
              </w:rPr>
              <w:tab/>
            </w:r>
            <w:r w:rsidR="00143FD2">
              <w:rPr>
                <w:noProof/>
              </w:rPr>
              <w:fldChar w:fldCharType="begin"/>
            </w:r>
            <w:r w:rsidR="00143FD2">
              <w:rPr>
                <w:noProof/>
              </w:rPr>
              <w:instrText xml:space="preserve"> PAGEREF _Toc241018054 \h </w:instrText>
            </w:r>
            <w:r w:rsidR="00143FD2">
              <w:rPr>
                <w:noProof/>
              </w:rPr>
            </w:r>
            <w:r w:rsidR="00143FD2">
              <w:rPr>
                <w:noProof/>
              </w:rPr>
              <w:fldChar w:fldCharType="separate"/>
            </w:r>
            <w:r w:rsidR="00143FD2">
              <w:rPr>
                <w:noProof/>
              </w:rPr>
              <w:t>34</w:t>
            </w:r>
            <w:r w:rsidR="00143FD2">
              <w:rPr>
                <w:noProof/>
              </w:rPr>
              <w:fldChar w:fldCharType="end"/>
            </w:r>
          </w:hyperlink>
        </w:p>
        <w:p w14:paraId="45EC58B2" w14:textId="7A1A7C98" w:rsidR="00143FD2" w:rsidRDefault="00B60110">
          <w:pPr>
            <w:pStyle w:val="TOC2"/>
            <w:tabs>
              <w:tab w:val="right" w:leader="dot" w:pos="9016"/>
            </w:tabs>
            <w:rPr>
              <w:rFonts w:asciiTheme="minorHAnsi" w:eastAsiaTheme="minorEastAsia" w:hAnsiTheme="minorHAnsi" w:cstheme="minorBidi"/>
              <w:noProof/>
              <w:color w:val="auto"/>
              <w:sz w:val="22"/>
              <w:szCs w:val="22"/>
            </w:rPr>
          </w:pPr>
          <w:hyperlink w:anchor="_Toc241018055" w:history="1">
            <w:r w:rsidR="00143FD2">
              <w:rPr>
                <w:rStyle w:val="Hyperlink"/>
                <w:noProof/>
              </w:rPr>
              <w:t>3.12 Chapter Summary</w:t>
            </w:r>
            <w:r w:rsidR="00143FD2">
              <w:rPr>
                <w:noProof/>
              </w:rPr>
              <w:tab/>
            </w:r>
            <w:r w:rsidR="00143FD2">
              <w:rPr>
                <w:noProof/>
              </w:rPr>
              <w:fldChar w:fldCharType="begin"/>
            </w:r>
            <w:r w:rsidR="00143FD2">
              <w:rPr>
                <w:noProof/>
              </w:rPr>
              <w:instrText xml:space="preserve"> PAGEREF _Toc241018055 \h </w:instrText>
            </w:r>
            <w:r w:rsidR="00143FD2">
              <w:rPr>
                <w:noProof/>
              </w:rPr>
            </w:r>
            <w:r w:rsidR="00143FD2">
              <w:rPr>
                <w:noProof/>
              </w:rPr>
              <w:fldChar w:fldCharType="separate"/>
            </w:r>
            <w:r w:rsidR="00143FD2">
              <w:rPr>
                <w:noProof/>
              </w:rPr>
              <w:t>35</w:t>
            </w:r>
            <w:r w:rsidR="00143FD2">
              <w:rPr>
                <w:noProof/>
              </w:rPr>
              <w:fldChar w:fldCharType="end"/>
            </w:r>
          </w:hyperlink>
        </w:p>
        <w:p w14:paraId="17136C39" w14:textId="33D5EC66" w:rsidR="00143FD2" w:rsidRDefault="00B60110">
          <w:pPr>
            <w:pStyle w:val="TOC1"/>
            <w:tabs>
              <w:tab w:val="right" w:leader="dot" w:pos="9016"/>
            </w:tabs>
            <w:rPr>
              <w:rFonts w:asciiTheme="minorHAnsi" w:eastAsiaTheme="minorEastAsia" w:hAnsiTheme="minorHAnsi" w:cstheme="minorBidi"/>
              <w:noProof/>
              <w:color w:val="auto"/>
              <w:sz w:val="22"/>
              <w:szCs w:val="22"/>
            </w:rPr>
          </w:pPr>
          <w:hyperlink w:anchor="_Toc241018056" w:history="1">
            <w:r w:rsidR="00143FD2">
              <w:rPr>
                <w:rStyle w:val="Hyperlink"/>
                <w:noProof/>
              </w:rPr>
              <w:t>Chapter Four: Findings and Discussion</w:t>
            </w:r>
            <w:r w:rsidR="00143FD2">
              <w:rPr>
                <w:noProof/>
              </w:rPr>
              <w:tab/>
            </w:r>
            <w:r w:rsidR="00143FD2">
              <w:rPr>
                <w:noProof/>
              </w:rPr>
              <w:fldChar w:fldCharType="begin"/>
            </w:r>
            <w:r w:rsidR="00143FD2">
              <w:rPr>
                <w:noProof/>
              </w:rPr>
              <w:instrText xml:space="preserve"> PAGEREF _Toc241018056 \h </w:instrText>
            </w:r>
            <w:r w:rsidR="00143FD2">
              <w:rPr>
                <w:noProof/>
              </w:rPr>
            </w:r>
            <w:r w:rsidR="00143FD2">
              <w:rPr>
                <w:noProof/>
              </w:rPr>
              <w:fldChar w:fldCharType="separate"/>
            </w:r>
            <w:r w:rsidR="00143FD2">
              <w:rPr>
                <w:noProof/>
              </w:rPr>
              <w:t>36</w:t>
            </w:r>
            <w:r w:rsidR="00143FD2">
              <w:rPr>
                <w:noProof/>
              </w:rPr>
              <w:fldChar w:fldCharType="end"/>
            </w:r>
          </w:hyperlink>
        </w:p>
        <w:p w14:paraId="5F2B8C17" w14:textId="54FC8783" w:rsidR="00143FD2" w:rsidRDefault="00B60110">
          <w:pPr>
            <w:pStyle w:val="TOC2"/>
            <w:tabs>
              <w:tab w:val="right" w:leader="dot" w:pos="9016"/>
            </w:tabs>
            <w:rPr>
              <w:rFonts w:asciiTheme="minorHAnsi" w:eastAsiaTheme="minorEastAsia" w:hAnsiTheme="minorHAnsi" w:cstheme="minorBidi"/>
              <w:noProof/>
              <w:color w:val="auto"/>
              <w:sz w:val="22"/>
              <w:szCs w:val="22"/>
            </w:rPr>
          </w:pPr>
          <w:hyperlink w:anchor="_Toc241018057" w:history="1">
            <w:r w:rsidR="00143FD2">
              <w:rPr>
                <w:rStyle w:val="Hyperlink"/>
                <w:noProof/>
              </w:rPr>
              <w:t>4.1 Introduction</w:t>
            </w:r>
            <w:r w:rsidR="00143FD2">
              <w:rPr>
                <w:noProof/>
              </w:rPr>
              <w:tab/>
            </w:r>
            <w:r w:rsidR="00143FD2">
              <w:rPr>
                <w:noProof/>
              </w:rPr>
              <w:fldChar w:fldCharType="begin"/>
            </w:r>
            <w:r w:rsidR="00143FD2">
              <w:rPr>
                <w:noProof/>
              </w:rPr>
              <w:instrText xml:space="preserve"> PAGEREF _Toc241018057 \h </w:instrText>
            </w:r>
            <w:r w:rsidR="00143FD2">
              <w:rPr>
                <w:noProof/>
              </w:rPr>
            </w:r>
            <w:r w:rsidR="00143FD2">
              <w:rPr>
                <w:noProof/>
              </w:rPr>
              <w:fldChar w:fldCharType="separate"/>
            </w:r>
            <w:r w:rsidR="00143FD2">
              <w:rPr>
                <w:noProof/>
              </w:rPr>
              <w:t>36</w:t>
            </w:r>
            <w:r w:rsidR="00143FD2">
              <w:rPr>
                <w:noProof/>
              </w:rPr>
              <w:fldChar w:fldCharType="end"/>
            </w:r>
          </w:hyperlink>
        </w:p>
        <w:p w14:paraId="24AA2FD7" w14:textId="2DAF3E05" w:rsidR="00143FD2" w:rsidRDefault="00B60110">
          <w:pPr>
            <w:pStyle w:val="TOC2"/>
            <w:tabs>
              <w:tab w:val="right" w:leader="dot" w:pos="9016"/>
            </w:tabs>
            <w:rPr>
              <w:rFonts w:asciiTheme="minorHAnsi" w:eastAsiaTheme="minorEastAsia" w:hAnsiTheme="minorHAnsi" w:cstheme="minorBidi"/>
              <w:noProof/>
              <w:color w:val="auto"/>
              <w:sz w:val="22"/>
              <w:szCs w:val="22"/>
            </w:rPr>
          </w:pPr>
          <w:hyperlink w:anchor="_Toc241018058" w:history="1">
            <w:r w:rsidR="00143FD2">
              <w:rPr>
                <w:rStyle w:val="Hyperlink"/>
                <w:noProof/>
              </w:rPr>
              <w:t>4.2 Overview of the participants</w:t>
            </w:r>
            <w:r w:rsidR="00143FD2">
              <w:rPr>
                <w:noProof/>
              </w:rPr>
              <w:tab/>
            </w:r>
            <w:r w:rsidR="00143FD2">
              <w:rPr>
                <w:noProof/>
              </w:rPr>
              <w:fldChar w:fldCharType="begin"/>
            </w:r>
            <w:r w:rsidR="00143FD2">
              <w:rPr>
                <w:noProof/>
              </w:rPr>
              <w:instrText xml:space="preserve"> PAGEREF _Toc241018058 \h </w:instrText>
            </w:r>
            <w:r w:rsidR="00143FD2">
              <w:rPr>
                <w:noProof/>
              </w:rPr>
            </w:r>
            <w:r w:rsidR="00143FD2">
              <w:rPr>
                <w:noProof/>
              </w:rPr>
              <w:fldChar w:fldCharType="separate"/>
            </w:r>
            <w:r w:rsidR="00143FD2">
              <w:rPr>
                <w:noProof/>
              </w:rPr>
              <w:t>36</w:t>
            </w:r>
            <w:r w:rsidR="00143FD2">
              <w:rPr>
                <w:noProof/>
              </w:rPr>
              <w:fldChar w:fldCharType="end"/>
            </w:r>
          </w:hyperlink>
        </w:p>
        <w:p w14:paraId="2FFA0AA5" w14:textId="71A96A0D" w:rsidR="00143FD2" w:rsidRDefault="00B60110">
          <w:pPr>
            <w:pStyle w:val="TOC2"/>
            <w:tabs>
              <w:tab w:val="right" w:leader="dot" w:pos="9016"/>
            </w:tabs>
            <w:rPr>
              <w:rFonts w:asciiTheme="minorHAnsi" w:eastAsiaTheme="minorEastAsia" w:hAnsiTheme="minorHAnsi" w:cstheme="minorBidi"/>
              <w:noProof/>
              <w:color w:val="auto"/>
              <w:sz w:val="22"/>
              <w:szCs w:val="22"/>
            </w:rPr>
          </w:pPr>
          <w:hyperlink w:anchor="_Toc241018059" w:history="1">
            <w:r w:rsidR="00143FD2">
              <w:rPr>
                <w:rStyle w:val="Hyperlink"/>
                <w:noProof/>
              </w:rPr>
              <w:t>4.3 Theme 1: Policy on paper versus policy in practice</w:t>
            </w:r>
            <w:r w:rsidR="00143FD2">
              <w:rPr>
                <w:noProof/>
              </w:rPr>
              <w:tab/>
            </w:r>
            <w:r w:rsidR="00143FD2">
              <w:rPr>
                <w:noProof/>
              </w:rPr>
              <w:fldChar w:fldCharType="begin"/>
            </w:r>
            <w:r w:rsidR="00143FD2">
              <w:rPr>
                <w:noProof/>
              </w:rPr>
              <w:instrText xml:space="preserve"> PAGEREF _Toc241018059 \h </w:instrText>
            </w:r>
            <w:r w:rsidR="00143FD2">
              <w:rPr>
                <w:noProof/>
              </w:rPr>
            </w:r>
            <w:r w:rsidR="00143FD2">
              <w:rPr>
                <w:noProof/>
              </w:rPr>
              <w:fldChar w:fldCharType="separate"/>
            </w:r>
            <w:r w:rsidR="00143FD2">
              <w:rPr>
                <w:noProof/>
              </w:rPr>
              <w:t>38</w:t>
            </w:r>
            <w:r w:rsidR="00143FD2">
              <w:rPr>
                <w:noProof/>
              </w:rPr>
              <w:fldChar w:fldCharType="end"/>
            </w:r>
          </w:hyperlink>
        </w:p>
        <w:p w14:paraId="267736FB" w14:textId="0BF65AB2" w:rsidR="00143FD2" w:rsidRDefault="00B60110">
          <w:pPr>
            <w:pStyle w:val="TOC2"/>
            <w:tabs>
              <w:tab w:val="right" w:leader="dot" w:pos="9016"/>
            </w:tabs>
            <w:rPr>
              <w:rFonts w:asciiTheme="minorHAnsi" w:eastAsiaTheme="minorEastAsia" w:hAnsiTheme="minorHAnsi" w:cstheme="minorBidi"/>
              <w:noProof/>
              <w:color w:val="auto"/>
              <w:sz w:val="22"/>
              <w:szCs w:val="22"/>
            </w:rPr>
          </w:pPr>
          <w:hyperlink w:anchor="_Toc241018060" w:history="1">
            <w:r w:rsidR="00143FD2">
              <w:rPr>
                <w:rStyle w:val="Hyperlink"/>
                <w:noProof/>
              </w:rPr>
              <w:t>4.4 Theme 2: The cultural cost of using policies</w:t>
            </w:r>
            <w:r w:rsidR="00143FD2">
              <w:rPr>
                <w:noProof/>
              </w:rPr>
              <w:tab/>
            </w:r>
            <w:r w:rsidR="00143FD2">
              <w:rPr>
                <w:noProof/>
              </w:rPr>
              <w:fldChar w:fldCharType="begin"/>
            </w:r>
            <w:r w:rsidR="00143FD2">
              <w:rPr>
                <w:noProof/>
              </w:rPr>
              <w:instrText xml:space="preserve"> PAGEREF _Toc241018060 \h </w:instrText>
            </w:r>
            <w:r w:rsidR="00143FD2">
              <w:rPr>
                <w:noProof/>
              </w:rPr>
            </w:r>
            <w:r w:rsidR="00143FD2">
              <w:rPr>
                <w:noProof/>
              </w:rPr>
              <w:fldChar w:fldCharType="separate"/>
            </w:r>
            <w:r w:rsidR="00143FD2">
              <w:rPr>
                <w:noProof/>
              </w:rPr>
              <w:t>39</w:t>
            </w:r>
            <w:r w:rsidR="00143FD2">
              <w:rPr>
                <w:noProof/>
              </w:rPr>
              <w:fldChar w:fldCharType="end"/>
            </w:r>
          </w:hyperlink>
        </w:p>
        <w:p w14:paraId="46850942" w14:textId="3E1C829E" w:rsidR="00143FD2" w:rsidRDefault="00B60110">
          <w:pPr>
            <w:pStyle w:val="TOC2"/>
            <w:tabs>
              <w:tab w:val="right" w:leader="dot" w:pos="9016"/>
            </w:tabs>
            <w:rPr>
              <w:rFonts w:asciiTheme="minorHAnsi" w:eastAsiaTheme="minorEastAsia" w:hAnsiTheme="minorHAnsi" w:cstheme="minorBidi"/>
              <w:noProof/>
              <w:color w:val="auto"/>
              <w:sz w:val="22"/>
              <w:szCs w:val="22"/>
            </w:rPr>
          </w:pPr>
          <w:hyperlink w:anchor="_Toc241018061" w:history="1">
            <w:r w:rsidR="00143FD2">
              <w:rPr>
                <w:rStyle w:val="Hyperlink"/>
                <w:noProof/>
              </w:rPr>
              <w:t>4.5 Theme 3: Spillover, exhaustion, and protected recovery</w:t>
            </w:r>
            <w:r w:rsidR="00143FD2">
              <w:rPr>
                <w:noProof/>
              </w:rPr>
              <w:tab/>
            </w:r>
            <w:r w:rsidR="00143FD2">
              <w:rPr>
                <w:noProof/>
              </w:rPr>
              <w:fldChar w:fldCharType="begin"/>
            </w:r>
            <w:r w:rsidR="00143FD2">
              <w:rPr>
                <w:noProof/>
              </w:rPr>
              <w:instrText xml:space="preserve"> PAGEREF _Toc241018061 \h </w:instrText>
            </w:r>
            <w:r w:rsidR="00143FD2">
              <w:rPr>
                <w:noProof/>
              </w:rPr>
            </w:r>
            <w:r w:rsidR="00143FD2">
              <w:rPr>
                <w:noProof/>
              </w:rPr>
              <w:fldChar w:fldCharType="separate"/>
            </w:r>
            <w:r w:rsidR="00143FD2">
              <w:rPr>
                <w:noProof/>
              </w:rPr>
              <w:t>40</w:t>
            </w:r>
            <w:r w:rsidR="00143FD2">
              <w:rPr>
                <w:noProof/>
              </w:rPr>
              <w:fldChar w:fldCharType="end"/>
            </w:r>
          </w:hyperlink>
        </w:p>
        <w:p w14:paraId="78C10D27" w14:textId="3184B58D" w:rsidR="00143FD2" w:rsidRDefault="00B60110">
          <w:pPr>
            <w:pStyle w:val="TOC2"/>
            <w:tabs>
              <w:tab w:val="right" w:leader="dot" w:pos="9016"/>
            </w:tabs>
            <w:rPr>
              <w:rFonts w:asciiTheme="minorHAnsi" w:eastAsiaTheme="minorEastAsia" w:hAnsiTheme="minorHAnsi" w:cstheme="minorBidi"/>
              <w:noProof/>
              <w:color w:val="auto"/>
              <w:sz w:val="22"/>
              <w:szCs w:val="22"/>
            </w:rPr>
          </w:pPr>
          <w:hyperlink w:anchor="_Toc241018062" w:history="1">
            <w:r w:rsidR="00143FD2">
              <w:rPr>
                <w:rStyle w:val="Hyperlink"/>
                <w:noProof/>
              </w:rPr>
              <w:t>4.6 Theme 4: From "all in" to "just surviving"</w:t>
            </w:r>
            <w:r w:rsidR="00143FD2">
              <w:rPr>
                <w:noProof/>
              </w:rPr>
              <w:tab/>
            </w:r>
            <w:r w:rsidR="00143FD2">
              <w:rPr>
                <w:noProof/>
              </w:rPr>
              <w:fldChar w:fldCharType="begin"/>
            </w:r>
            <w:r w:rsidR="00143FD2">
              <w:rPr>
                <w:noProof/>
              </w:rPr>
              <w:instrText xml:space="preserve"> PAGEREF _Toc241018062 \h </w:instrText>
            </w:r>
            <w:r w:rsidR="00143FD2">
              <w:rPr>
                <w:noProof/>
              </w:rPr>
            </w:r>
            <w:r w:rsidR="00143FD2">
              <w:rPr>
                <w:noProof/>
              </w:rPr>
              <w:fldChar w:fldCharType="separate"/>
            </w:r>
            <w:r w:rsidR="00143FD2">
              <w:rPr>
                <w:noProof/>
              </w:rPr>
              <w:t>41</w:t>
            </w:r>
            <w:r w:rsidR="00143FD2">
              <w:rPr>
                <w:noProof/>
              </w:rPr>
              <w:fldChar w:fldCharType="end"/>
            </w:r>
          </w:hyperlink>
        </w:p>
        <w:p w14:paraId="21228BC1" w14:textId="63241588" w:rsidR="00143FD2" w:rsidRDefault="00B60110">
          <w:pPr>
            <w:pStyle w:val="TOC2"/>
            <w:tabs>
              <w:tab w:val="right" w:leader="dot" w:pos="9016"/>
            </w:tabs>
            <w:rPr>
              <w:rFonts w:asciiTheme="minorHAnsi" w:eastAsiaTheme="minorEastAsia" w:hAnsiTheme="minorHAnsi" w:cstheme="minorBidi"/>
              <w:noProof/>
              <w:color w:val="auto"/>
              <w:sz w:val="22"/>
              <w:szCs w:val="22"/>
            </w:rPr>
          </w:pPr>
          <w:hyperlink w:anchor="_Toc241018063" w:history="1">
            <w:r w:rsidR="00143FD2">
              <w:rPr>
                <w:rStyle w:val="Hyperlink"/>
                <w:noProof/>
              </w:rPr>
              <w:t>4.7 Theme 5: Wanting to stay versus having to stay</w:t>
            </w:r>
            <w:r w:rsidR="00143FD2">
              <w:rPr>
                <w:noProof/>
              </w:rPr>
              <w:tab/>
            </w:r>
            <w:r w:rsidR="00143FD2">
              <w:rPr>
                <w:noProof/>
              </w:rPr>
              <w:fldChar w:fldCharType="begin"/>
            </w:r>
            <w:r w:rsidR="00143FD2">
              <w:rPr>
                <w:noProof/>
              </w:rPr>
              <w:instrText xml:space="preserve"> PAGEREF _Toc241018063 \h </w:instrText>
            </w:r>
            <w:r w:rsidR="00143FD2">
              <w:rPr>
                <w:noProof/>
              </w:rPr>
            </w:r>
            <w:r w:rsidR="00143FD2">
              <w:rPr>
                <w:noProof/>
              </w:rPr>
              <w:fldChar w:fldCharType="separate"/>
            </w:r>
            <w:r w:rsidR="00143FD2">
              <w:rPr>
                <w:noProof/>
              </w:rPr>
              <w:t>42</w:t>
            </w:r>
            <w:r w:rsidR="00143FD2">
              <w:rPr>
                <w:noProof/>
              </w:rPr>
              <w:fldChar w:fldCharType="end"/>
            </w:r>
          </w:hyperlink>
        </w:p>
        <w:p w14:paraId="455824E2" w14:textId="0DF92972" w:rsidR="00143FD2" w:rsidRDefault="00B60110">
          <w:pPr>
            <w:pStyle w:val="TOC2"/>
            <w:tabs>
              <w:tab w:val="right" w:leader="dot" w:pos="9016"/>
            </w:tabs>
            <w:rPr>
              <w:rFonts w:asciiTheme="minorHAnsi" w:eastAsiaTheme="minorEastAsia" w:hAnsiTheme="minorHAnsi" w:cstheme="minorBidi"/>
              <w:noProof/>
              <w:color w:val="auto"/>
              <w:sz w:val="22"/>
              <w:szCs w:val="22"/>
            </w:rPr>
          </w:pPr>
          <w:hyperlink w:anchor="_Toc241018064" w:history="1">
            <w:r w:rsidR="00143FD2">
              <w:rPr>
                <w:rStyle w:val="Hyperlink"/>
                <w:noProof/>
              </w:rPr>
              <w:t>4.8 Chapter summary</w:t>
            </w:r>
            <w:r w:rsidR="00143FD2">
              <w:rPr>
                <w:noProof/>
              </w:rPr>
              <w:tab/>
            </w:r>
            <w:r w:rsidR="00143FD2">
              <w:rPr>
                <w:noProof/>
              </w:rPr>
              <w:fldChar w:fldCharType="begin"/>
            </w:r>
            <w:r w:rsidR="00143FD2">
              <w:rPr>
                <w:noProof/>
              </w:rPr>
              <w:instrText xml:space="preserve"> PAGEREF _Toc241018064 \h </w:instrText>
            </w:r>
            <w:r w:rsidR="00143FD2">
              <w:rPr>
                <w:noProof/>
              </w:rPr>
            </w:r>
            <w:r w:rsidR="00143FD2">
              <w:rPr>
                <w:noProof/>
              </w:rPr>
              <w:fldChar w:fldCharType="separate"/>
            </w:r>
            <w:r w:rsidR="00143FD2">
              <w:rPr>
                <w:noProof/>
              </w:rPr>
              <w:t>43</w:t>
            </w:r>
            <w:r w:rsidR="00143FD2">
              <w:rPr>
                <w:noProof/>
              </w:rPr>
              <w:fldChar w:fldCharType="end"/>
            </w:r>
          </w:hyperlink>
        </w:p>
        <w:p w14:paraId="618BCDAA" w14:textId="64828AE5" w:rsidR="00143FD2" w:rsidRDefault="00B60110">
          <w:pPr>
            <w:pStyle w:val="TOC1"/>
            <w:tabs>
              <w:tab w:val="right" w:leader="dot" w:pos="9016"/>
            </w:tabs>
            <w:rPr>
              <w:rFonts w:asciiTheme="minorHAnsi" w:eastAsiaTheme="minorEastAsia" w:hAnsiTheme="minorHAnsi" w:cstheme="minorBidi"/>
              <w:noProof/>
              <w:color w:val="auto"/>
              <w:sz w:val="22"/>
              <w:szCs w:val="22"/>
            </w:rPr>
          </w:pPr>
          <w:hyperlink w:anchor="_Toc241018065" w:history="1">
            <w:r w:rsidR="00143FD2">
              <w:rPr>
                <w:rStyle w:val="Hyperlink"/>
                <w:noProof/>
              </w:rPr>
              <w:t>Chapter Five: Conclusions and Recommendations</w:t>
            </w:r>
            <w:r w:rsidR="00143FD2">
              <w:rPr>
                <w:noProof/>
              </w:rPr>
              <w:tab/>
            </w:r>
            <w:r w:rsidR="00143FD2">
              <w:rPr>
                <w:noProof/>
              </w:rPr>
              <w:fldChar w:fldCharType="begin"/>
            </w:r>
            <w:r w:rsidR="00143FD2">
              <w:rPr>
                <w:noProof/>
              </w:rPr>
              <w:instrText xml:space="preserve"> PAGEREF _Toc241018065 \h </w:instrText>
            </w:r>
            <w:r w:rsidR="00143FD2">
              <w:rPr>
                <w:noProof/>
              </w:rPr>
            </w:r>
            <w:r w:rsidR="00143FD2">
              <w:rPr>
                <w:noProof/>
              </w:rPr>
              <w:fldChar w:fldCharType="separate"/>
            </w:r>
            <w:r w:rsidR="00143FD2">
              <w:rPr>
                <w:noProof/>
              </w:rPr>
              <w:t>46</w:t>
            </w:r>
            <w:r w:rsidR="00143FD2">
              <w:rPr>
                <w:noProof/>
              </w:rPr>
              <w:fldChar w:fldCharType="end"/>
            </w:r>
          </w:hyperlink>
        </w:p>
        <w:p w14:paraId="4B5DCB3F" w14:textId="3CFB71AE" w:rsidR="00143FD2" w:rsidRDefault="00B60110">
          <w:pPr>
            <w:pStyle w:val="TOC2"/>
            <w:tabs>
              <w:tab w:val="right" w:leader="dot" w:pos="9016"/>
            </w:tabs>
            <w:rPr>
              <w:rFonts w:asciiTheme="minorHAnsi" w:eastAsiaTheme="minorEastAsia" w:hAnsiTheme="minorHAnsi" w:cstheme="minorBidi"/>
              <w:noProof/>
              <w:color w:val="auto"/>
              <w:sz w:val="22"/>
              <w:szCs w:val="22"/>
            </w:rPr>
          </w:pPr>
          <w:hyperlink w:anchor="_Toc241018066" w:history="1">
            <w:r w:rsidR="00143FD2">
              <w:rPr>
                <w:rStyle w:val="Hyperlink"/>
                <w:noProof/>
              </w:rPr>
              <w:t>5.1 Introduction</w:t>
            </w:r>
            <w:r w:rsidR="00143FD2">
              <w:rPr>
                <w:noProof/>
              </w:rPr>
              <w:tab/>
            </w:r>
            <w:r w:rsidR="00143FD2">
              <w:rPr>
                <w:noProof/>
              </w:rPr>
              <w:fldChar w:fldCharType="begin"/>
            </w:r>
            <w:r w:rsidR="00143FD2">
              <w:rPr>
                <w:noProof/>
              </w:rPr>
              <w:instrText xml:space="preserve"> PAGEREF _Toc241018066 \h </w:instrText>
            </w:r>
            <w:r w:rsidR="00143FD2">
              <w:rPr>
                <w:noProof/>
              </w:rPr>
            </w:r>
            <w:r w:rsidR="00143FD2">
              <w:rPr>
                <w:noProof/>
              </w:rPr>
              <w:fldChar w:fldCharType="separate"/>
            </w:r>
            <w:r w:rsidR="00143FD2">
              <w:rPr>
                <w:noProof/>
              </w:rPr>
              <w:t>46</w:t>
            </w:r>
            <w:r w:rsidR="00143FD2">
              <w:rPr>
                <w:noProof/>
              </w:rPr>
              <w:fldChar w:fldCharType="end"/>
            </w:r>
          </w:hyperlink>
        </w:p>
        <w:p w14:paraId="684B1D94" w14:textId="12DA8F28" w:rsidR="00143FD2" w:rsidRDefault="00B60110">
          <w:pPr>
            <w:pStyle w:val="TOC2"/>
            <w:tabs>
              <w:tab w:val="right" w:leader="dot" w:pos="9016"/>
            </w:tabs>
            <w:rPr>
              <w:rFonts w:asciiTheme="minorHAnsi" w:eastAsiaTheme="minorEastAsia" w:hAnsiTheme="minorHAnsi" w:cstheme="minorBidi"/>
              <w:noProof/>
              <w:color w:val="auto"/>
              <w:sz w:val="22"/>
              <w:szCs w:val="22"/>
            </w:rPr>
          </w:pPr>
          <w:hyperlink w:anchor="_Toc241018067" w:history="1">
            <w:r w:rsidR="00143FD2">
              <w:rPr>
                <w:rStyle w:val="Hyperlink"/>
                <w:noProof/>
              </w:rPr>
              <w:t>5.2 Conclusions</w:t>
            </w:r>
            <w:r w:rsidR="00143FD2">
              <w:rPr>
                <w:noProof/>
              </w:rPr>
              <w:tab/>
            </w:r>
            <w:r w:rsidR="00143FD2">
              <w:rPr>
                <w:noProof/>
              </w:rPr>
              <w:fldChar w:fldCharType="begin"/>
            </w:r>
            <w:r w:rsidR="00143FD2">
              <w:rPr>
                <w:noProof/>
              </w:rPr>
              <w:instrText xml:space="preserve"> PAGEREF _Toc241018067 \h </w:instrText>
            </w:r>
            <w:r w:rsidR="00143FD2">
              <w:rPr>
                <w:noProof/>
              </w:rPr>
            </w:r>
            <w:r w:rsidR="00143FD2">
              <w:rPr>
                <w:noProof/>
              </w:rPr>
              <w:fldChar w:fldCharType="separate"/>
            </w:r>
            <w:r w:rsidR="00143FD2">
              <w:rPr>
                <w:noProof/>
              </w:rPr>
              <w:t>46</w:t>
            </w:r>
            <w:r w:rsidR="00143FD2">
              <w:rPr>
                <w:noProof/>
              </w:rPr>
              <w:fldChar w:fldCharType="end"/>
            </w:r>
          </w:hyperlink>
        </w:p>
        <w:p w14:paraId="24BAB3F9" w14:textId="1148D136" w:rsidR="00143FD2" w:rsidRDefault="00B60110">
          <w:pPr>
            <w:pStyle w:val="TOC3"/>
            <w:tabs>
              <w:tab w:val="right" w:leader="dot" w:pos="9016"/>
            </w:tabs>
            <w:rPr>
              <w:rFonts w:asciiTheme="minorHAnsi" w:eastAsiaTheme="minorEastAsia" w:hAnsiTheme="minorHAnsi" w:cstheme="minorBidi"/>
              <w:noProof/>
              <w:color w:val="auto"/>
              <w:sz w:val="22"/>
              <w:szCs w:val="22"/>
            </w:rPr>
          </w:pPr>
          <w:hyperlink w:anchor="_Toc241018068" w:history="1">
            <w:r w:rsidR="00143FD2">
              <w:rPr>
                <w:rStyle w:val="Hyperlink"/>
                <w:noProof/>
              </w:rPr>
              <w:t>Answer to the research question</w:t>
            </w:r>
            <w:r w:rsidR="00143FD2">
              <w:rPr>
                <w:noProof/>
              </w:rPr>
              <w:tab/>
            </w:r>
            <w:r w:rsidR="00143FD2">
              <w:rPr>
                <w:noProof/>
              </w:rPr>
              <w:fldChar w:fldCharType="begin"/>
            </w:r>
            <w:r w:rsidR="00143FD2">
              <w:rPr>
                <w:noProof/>
              </w:rPr>
              <w:instrText xml:space="preserve"> PAGEREF _Toc241018068 \h </w:instrText>
            </w:r>
            <w:r w:rsidR="00143FD2">
              <w:rPr>
                <w:noProof/>
              </w:rPr>
            </w:r>
            <w:r w:rsidR="00143FD2">
              <w:rPr>
                <w:noProof/>
              </w:rPr>
              <w:fldChar w:fldCharType="separate"/>
            </w:r>
            <w:r w:rsidR="00143FD2">
              <w:rPr>
                <w:noProof/>
              </w:rPr>
              <w:t>48</w:t>
            </w:r>
            <w:r w:rsidR="00143FD2">
              <w:rPr>
                <w:noProof/>
              </w:rPr>
              <w:fldChar w:fldCharType="end"/>
            </w:r>
          </w:hyperlink>
        </w:p>
        <w:p w14:paraId="29971EF1" w14:textId="4E0DA1CD" w:rsidR="00143FD2" w:rsidRDefault="00B60110">
          <w:pPr>
            <w:pStyle w:val="TOC2"/>
            <w:tabs>
              <w:tab w:val="right" w:leader="dot" w:pos="9016"/>
            </w:tabs>
            <w:rPr>
              <w:rFonts w:asciiTheme="minorHAnsi" w:eastAsiaTheme="minorEastAsia" w:hAnsiTheme="minorHAnsi" w:cstheme="minorBidi"/>
              <w:noProof/>
              <w:color w:val="auto"/>
              <w:sz w:val="22"/>
              <w:szCs w:val="22"/>
            </w:rPr>
          </w:pPr>
          <w:hyperlink w:anchor="_Toc241018069" w:history="1">
            <w:r w:rsidR="00143FD2">
              <w:rPr>
                <w:rStyle w:val="Hyperlink"/>
                <w:noProof/>
              </w:rPr>
              <w:t>5.3 Contribution to Knowledge</w:t>
            </w:r>
            <w:r w:rsidR="00143FD2">
              <w:rPr>
                <w:noProof/>
              </w:rPr>
              <w:tab/>
            </w:r>
            <w:r w:rsidR="00143FD2">
              <w:rPr>
                <w:noProof/>
              </w:rPr>
              <w:fldChar w:fldCharType="begin"/>
            </w:r>
            <w:r w:rsidR="00143FD2">
              <w:rPr>
                <w:noProof/>
              </w:rPr>
              <w:instrText xml:space="preserve"> PAGEREF _Toc241018069 \h </w:instrText>
            </w:r>
            <w:r w:rsidR="00143FD2">
              <w:rPr>
                <w:noProof/>
              </w:rPr>
            </w:r>
            <w:r w:rsidR="00143FD2">
              <w:rPr>
                <w:noProof/>
              </w:rPr>
              <w:fldChar w:fldCharType="separate"/>
            </w:r>
            <w:r w:rsidR="00143FD2">
              <w:rPr>
                <w:noProof/>
              </w:rPr>
              <w:t>48</w:t>
            </w:r>
            <w:r w:rsidR="00143FD2">
              <w:rPr>
                <w:noProof/>
              </w:rPr>
              <w:fldChar w:fldCharType="end"/>
            </w:r>
          </w:hyperlink>
        </w:p>
        <w:p w14:paraId="258AC1F8" w14:textId="68B0872A" w:rsidR="00143FD2" w:rsidRDefault="00B60110">
          <w:pPr>
            <w:pStyle w:val="TOC2"/>
            <w:tabs>
              <w:tab w:val="right" w:leader="dot" w:pos="9016"/>
            </w:tabs>
            <w:rPr>
              <w:rFonts w:asciiTheme="minorHAnsi" w:eastAsiaTheme="minorEastAsia" w:hAnsiTheme="minorHAnsi" w:cstheme="minorBidi"/>
              <w:noProof/>
              <w:color w:val="auto"/>
              <w:sz w:val="22"/>
              <w:szCs w:val="22"/>
            </w:rPr>
          </w:pPr>
          <w:hyperlink w:anchor="_Toc241018070" w:history="1">
            <w:r w:rsidR="00143FD2">
              <w:rPr>
                <w:rStyle w:val="Hyperlink"/>
                <w:noProof/>
              </w:rPr>
              <w:t>5.4 Recommendations for Management Practice</w:t>
            </w:r>
            <w:r w:rsidR="00143FD2">
              <w:rPr>
                <w:noProof/>
              </w:rPr>
              <w:tab/>
            </w:r>
            <w:r w:rsidR="00143FD2">
              <w:rPr>
                <w:noProof/>
              </w:rPr>
              <w:fldChar w:fldCharType="begin"/>
            </w:r>
            <w:r w:rsidR="00143FD2">
              <w:rPr>
                <w:noProof/>
              </w:rPr>
              <w:instrText xml:space="preserve"> PAGEREF _Toc241018070 \h </w:instrText>
            </w:r>
            <w:r w:rsidR="00143FD2">
              <w:rPr>
                <w:noProof/>
              </w:rPr>
            </w:r>
            <w:r w:rsidR="00143FD2">
              <w:rPr>
                <w:noProof/>
              </w:rPr>
              <w:fldChar w:fldCharType="separate"/>
            </w:r>
            <w:r w:rsidR="00143FD2">
              <w:rPr>
                <w:noProof/>
              </w:rPr>
              <w:t>49</w:t>
            </w:r>
            <w:r w:rsidR="00143FD2">
              <w:rPr>
                <w:noProof/>
              </w:rPr>
              <w:fldChar w:fldCharType="end"/>
            </w:r>
          </w:hyperlink>
        </w:p>
        <w:p w14:paraId="57400655" w14:textId="0AA7DFA6" w:rsidR="00143FD2" w:rsidRDefault="00B60110">
          <w:pPr>
            <w:pStyle w:val="TOC2"/>
            <w:tabs>
              <w:tab w:val="right" w:leader="dot" w:pos="9016"/>
            </w:tabs>
            <w:rPr>
              <w:rFonts w:asciiTheme="minorHAnsi" w:eastAsiaTheme="minorEastAsia" w:hAnsiTheme="minorHAnsi" w:cstheme="minorBidi"/>
              <w:noProof/>
              <w:color w:val="auto"/>
              <w:sz w:val="22"/>
              <w:szCs w:val="22"/>
            </w:rPr>
          </w:pPr>
          <w:hyperlink w:anchor="_Toc241018071" w:history="1">
            <w:r w:rsidR="00143FD2">
              <w:rPr>
                <w:rStyle w:val="Hyperlink"/>
                <w:noProof/>
              </w:rPr>
              <w:t>5.5 Limitations of the Study</w:t>
            </w:r>
            <w:r w:rsidR="00143FD2">
              <w:rPr>
                <w:noProof/>
              </w:rPr>
              <w:tab/>
            </w:r>
            <w:r w:rsidR="00143FD2">
              <w:rPr>
                <w:noProof/>
              </w:rPr>
              <w:fldChar w:fldCharType="begin"/>
            </w:r>
            <w:r w:rsidR="00143FD2">
              <w:rPr>
                <w:noProof/>
              </w:rPr>
              <w:instrText xml:space="preserve"> PAGEREF _Toc241018071 \h </w:instrText>
            </w:r>
            <w:r w:rsidR="00143FD2">
              <w:rPr>
                <w:noProof/>
              </w:rPr>
            </w:r>
            <w:r w:rsidR="00143FD2">
              <w:rPr>
                <w:noProof/>
              </w:rPr>
              <w:fldChar w:fldCharType="separate"/>
            </w:r>
            <w:r w:rsidR="00143FD2">
              <w:rPr>
                <w:noProof/>
              </w:rPr>
              <w:t>51</w:t>
            </w:r>
            <w:r w:rsidR="00143FD2">
              <w:rPr>
                <w:noProof/>
              </w:rPr>
              <w:fldChar w:fldCharType="end"/>
            </w:r>
          </w:hyperlink>
        </w:p>
        <w:p w14:paraId="4E3FD068" w14:textId="3CE2E7FF" w:rsidR="00143FD2" w:rsidRDefault="00B60110">
          <w:pPr>
            <w:pStyle w:val="TOC2"/>
            <w:tabs>
              <w:tab w:val="right" w:leader="dot" w:pos="9016"/>
            </w:tabs>
            <w:rPr>
              <w:rFonts w:asciiTheme="minorHAnsi" w:eastAsiaTheme="minorEastAsia" w:hAnsiTheme="minorHAnsi" w:cstheme="minorBidi"/>
              <w:noProof/>
              <w:color w:val="auto"/>
              <w:sz w:val="22"/>
              <w:szCs w:val="22"/>
            </w:rPr>
          </w:pPr>
          <w:hyperlink w:anchor="_Toc241018072" w:history="1">
            <w:r w:rsidR="00143FD2">
              <w:rPr>
                <w:rStyle w:val="Hyperlink"/>
                <w:noProof/>
              </w:rPr>
              <w:t>5.6 Directions for Future Research</w:t>
            </w:r>
            <w:r w:rsidR="00143FD2">
              <w:rPr>
                <w:noProof/>
              </w:rPr>
              <w:tab/>
            </w:r>
            <w:r w:rsidR="00143FD2">
              <w:rPr>
                <w:noProof/>
              </w:rPr>
              <w:fldChar w:fldCharType="begin"/>
            </w:r>
            <w:r w:rsidR="00143FD2">
              <w:rPr>
                <w:noProof/>
              </w:rPr>
              <w:instrText xml:space="preserve"> PAGEREF _Toc241018072 \h </w:instrText>
            </w:r>
            <w:r w:rsidR="00143FD2">
              <w:rPr>
                <w:noProof/>
              </w:rPr>
            </w:r>
            <w:r w:rsidR="00143FD2">
              <w:rPr>
                <w:noProof/>
              </w:rPr>
              <w:fldChar w:fldCharType="separate"/>
            </w:r>
            <w:r w:rsidR="00143FD2">
              <w:rPr>
                <w:noProof/>
              </w:rPr>
              <w:t>51</w:t>
            </w:r>
            <w:r w:rsidR="00143FD2">
              <w:rPr>
                <w:noProof/>
              </w:rPr>
              <w:fldChar w:fldCharType="end"/>
            </w:r>
          </w:hyperlink>
        </w:p>
        <w:p w14:paraId="012B0458" w14:textId="3D81C033" w:rsidR="00143FD2" w:rsidRDefault="00B60110">
          <w:pPr>
            <w:pStyle w:val="TOC2"/>
            <w:tabs>
              <w:tab w:val="right" w:leader="dot" w:pos="9016"/>
            </w:tabs>
            <w:rPr>
              <w:rFonts w:asciiTheme="minorHAnsi" w:eastAsiaTheme="minorEastAsia" w:hAnsiTheme="minorHAnsi" w:cstheme="minorBidi"/>
              <w:noProof/>
              <w:color w:val="auto"/>
              <w:sz w:val="22"/>
              <w:szCs w:val="22"/>
            </w:rPr>
          </w:pPr>
          <w:hyperlink w:anchor="_Toc241018073" w:history="1">
            <w:r w:rsidR="00143FD2">
              <w:rPr>
                <w:rStyle w:val="Hyperlink"/>
                <w:noProof/>
              </w:rPr>
              <w:t>5.7 Concluding Remarks</w:t>
            </w:r>
            <w:r w:rsidR="00143FD2">
              <w:rPr>
                <w:noProof/>
              </w:rPr>
              <w:tab/>
            </w:r>
            <w:r w:rsidR="00143FD2">
              <w:rPr>
                <w:noProof/>
              </w:rPr>
              <w:fldChar w:fldCharType="begin"/>
            </w:r>
            <w:r w:rsidR="00143FD2">
              <w:rPr>
                <w:noProof/>
              </w:rPr>
              <w:instrText xml:space="preserve"> PAGEREF _Toc241018073 \h </w:instrText>
            </w:r>
            <w:r w:rsidR="00143FD2">
              <w:rPr>
                <w:noProof/>
              </w:rPr>
            </w:r>
            <w:r w:rsidR="00143FD2">
              <w:rPr>
                <w:noProof/>
              </w:rPr>
              <w:fldChar w:fldCharType="separate"/>
            </w:r>
            <w:r w:rsidR="00143FD2">
              <w:rPr>
                <w:noProof/>
              </w:rPr>
              <w:t>52</w:t>
            </w:r>
            <w:r w:rsidR="00143FD2">
              <w:rPr>
                <w:noProof/>
              </w:rPr>
              <w:fldChar w:fldCharType="end"/>
            </w:r>
          </w:hyperlink>
        </w:p>
        <w:p w14:paraId="6A526049" w14:textId="500EC2C5" w:rsidR="00143FD2" w:rsidRDefault="00B60110">
          <w:pPr>
            <w:pStyle w:val="TOC1"/>
            <w:tabs>
              <w:tab w:val="right" w:leader="dot" w:pos="9016"/>
            </w:tabs>
            <w:rPr>
              <w:rFonts w:asciiTheme="minorHAnsi" w:eastAsiaTheme="minorEastAsia" w:hAnsiTheme="minorHAnsi" w:cstheme="minorBidi"/>
              <w:noProof/>
              <w:color w:val="auto"/>
              <w:sz w:val="22"/>
              <w:szCs w:val="22"/>
            </w:rPr>
          </w:pPr>
          <w:hyperlink w:anchor="_Toc241018074" w:history="1">
            <w:r w:rsidR="00143FD2">
              <w:rPr>
                <w:rStyle w:val="Hyperlink"/>
                <w:noProof/>
              </w:rPr>
              <w:t>References</w:t>
            </w:r>
            <w:r w:rsidR="00143FD2">
              <w:rPr>
                <w:noProof/>
              </w:rPr>
              <w:tab/>
            </w:r>
            <w:r w:rsidR="00143FD2">
              <w:rPr>
                <w:noProof/>
              </w:rPr>
              <w:fldChar w:fldCharType="begin"/>
            </w:r>
            <w:r w:rsidR="00143FD2">
              <w:rPr>
                <w:noProof/>
              </w:rPr>
              <w:instrText xml:space="preserve"> PAGEREF _Toc241018074 \h </w:instrText>
            </w:r>
            <w:r w:rsidR="00143FD2">
              <w:rPr>
                <w:noProof/>
              </w:rPr>
            </w:r>
            <w:r w:rsidR="00143FD2">
              <w:rPr>
                <w:noProof/>
              </w:rPr>
              <w:fldChar w:fldCharType="separate"/>
            </w:r>
            <w:r w:rsidR="00143FD2">
              <w:rPr>
                <w:noProof/>
              </w:rPr>
              <w:t>53</w:t>
            </w:r>
            <w:r w:rsidR="00143FD2">
              <w:rPr>
                <w:noProof/>
              </w:rPr>
              <w:fldChar w:fldCharType="end"/>
            </w:r>
          </w:hyperlink>
        </w:p>
        <w:p w14:paraId="7544B2D3" w14:textId="44AA2297" w:rsidR="00143FD2" w:rsidRDefault="00B60110">
          <w:pPr>
            <w:pStyle w:val="TOC1"/>
            <w:tabs>
              <w:tab w:val="right" w:leader="dot" w:pos="9016"/>
            </w:tabs>
            <w:rPr>
              <w:rFonts w:asciiTheme="minorHAnsi" w:eastAsiaTheme="minorEastAsia" w:hAnsiTheme="minorHAnsi" w:cstheme="minorBidi"/>
              <w:noProof/>
              <w:color w:val="auto"/>
              <w:sz w:val="22"/>
              <w:szCs w:val="22"/>
            </w:rPr>
          </w:pPr>
          <w:hyperlink w:anchor="_Toc241018075" w:history="1">
            <w:r w:rsidR="00143FD2">
              <w:rPr>
                <w:rStyle w:val="Hyperlink"/>
                <w:noProof/>
              </w:rPr>
              <w:t>Appendices</w:t>
            </w:r>
            <w:r w:rsidR="00143FD2">
              <w:rPr>
                <w:noProof/>
              </w:rPr>
              <w:tab/>
            </w:r>
            <w:r w:rsidR="00143FD2">
              <w:rPr>
                <w:noProof/>
              </w:rPr>
              <w:fldChar w:fldCharType="begin"/>
            </w:r>
            <w:r w:rsidR="00143FD2">
              <w:rPr>
                <w:noProof/>
              </w:rPr>
              <w:instrText xml:space="preserve"> PAGEREF _Toc241018075 \h </w:instrText>
            </w:r>
            <w:r w:rsidR="00143FD2">
              <w:rPr>
                <w:noProof/>
              </w:rPr>
            </w:r>
            <w:r w:rsidR="00143FD2">
              <w:rPr>
                <w:noProof/>
              </w:rPr>
              <w:fldChar w:fldCharType="separate"/>
            </w:r>
            <w:r w:rsidR="00143FD2">
              <w:rPr>
                <w:noProof/>
              </w:rPr>
              <w:t>63</w:t>
            </w:r>
            <w:r w:rsidR="00143FD2">
              <w:rPr>
                <w:noProof/>
              </w:rPr>
              <w:fldChar w:fldCharType="end"/>
            </w:r>
          </w:hyperlink>
        </w:p>
        <w:p w14:paraId="678D39F1" w14:textId="1AFB6330" w:rsidR="00143FD2" w:rsidRDefault="00B60110">
          <w:pPr>
            <w:pStyle w:val="TOC2"/>
            <w:tabs>
              <w:tab w:val="right" w:leader="dot" w:pos="9016"/>
            </w:tabs>
            <w:rPr>
              <w:rFonts w:asciiTheme="minorHAnsi" w:eastAsiaTheme="minorEastAsia" w:hAnsiTheme="minorHAnsi" w:cstheme="minorBidi"/>
              <w:noProof/>
              <w:color w:val="auto"/>
              <w:sz w:val="22"/>
              <w:szCs w:val="22"/>
            </w:rPr>
          </w:pPr>
          <w:hyperlink w:anchor="_Toc241018076" w:history="1">
            <w:r w:rsidR="00143FD2">
              <w:rPr>
                <w:rStyle w:val="Hyperlink"/>
                <w:noProof/>
              </w:rPr>
              <w:t>Appendix A: Semi-Structured Interviews Questions</w:t>
            </w:r>
            <w:r w:rsidR="00143FD2">
              <w:rPr>
                <w:noProof/>
              </w:rPr>
              <w:tab/>
            </w:r>
            <w:r w:rsidR="00143FD2">
              <w:rPr>
                <w:noProof/>
              </w:rPr>
              <w:fldChar w:fldCharType="begin"/>
            </w:r>
            <w:r w:rsidR="00143FD2">
              <w:rPr>
                <w:noProof/>
              </w:rPr>
              <w:instrText xml:space="preserve"> PAGEREF _Toc241018076 \h </w:instrText>
            </w:r>
            <w:r w:rsidR="00143FD2">
              <w:rPr>
                <w:noProof/>
              </w:rPr>
            </w:r>
            <w:r w:rsidR="00143FD2">
              <w:rPr>
                <w:noProof/>
              </w:rPr>
              <w:fldChar w:fldCharType="separate"/>
            </w:r>
            <w:r w:rsidR="00143FD2">
              <w:rPr>
                <w:noProof/>
              </w:rPr>
              <w:t>63</w:t>
            </w:r>
            <w:r w:rsidR="00143FD2">
              <w:rPr>
                <w:noProof/>
              </w:rPr>
              <w:fldChar w:fldCharType="end"/>
            </w:r>
          </w:hyperlink>
        </w:p>
        <w:p w14:paraId="2FF4C4F8" w14:textId="0B4BDF94" w:rsidR="00143FD2" w:rsidRDefault="00B60110">
          <w:pPr>
            <w:pStyle w:val="TOC2"/>
            <w:tabs>
              <w:tab w:val="right" w:leader="dot" w:pos="9016"/>
            </w:tabs>
            <w:rPr>
              <w:rFonts w:asciiTheme="minorHAnsi" w:eastAsiaTheme="minorEastAsia" w:hAnsiTheme="minorHAnsi" w:cstheme="minorBidi"/>
              <w:noProof/>
              <w:color w:val="auto"/>
              <w:sz w:val="22"/>
              <w:szCs w:val="22"/>
            </w:rPr>
          </w:pPr>
          <w:hyperlink w:anchor="_Toc241018077" w:history="1">
            <w:r w:rsidR="00143FD2">
              <w:rPr>
                <w:rStyle w:val="Hyperlink"/>
                <w:noProof/>
              </w:rPr>
              <w:t>Appendix B: Interview Transcripts</w:t>
            </w:r>
            <w:r w:rsidR="00143FD2">
              <w:rPr>
                <w:noProof/>
              </w:rPr>
              <w:tab/>
            </w:r>
            <w:r w:rsidR="00143FD2">
              <w:rPr>
                <w:noProof/>
              </w:rPr>
              <w:fldChar w:fldCharType="begin"/>
            </w:r>
            <w:r w:rsidR="00143FD2">
              <w:rPr>
                <w:noProof/>
              </w:rPr>
              <w:instrText xml:space="preserve"> PAGEREF _Toc241018077 \h </w:instrText>
            </w:r>
            <w:r w:rsidR="00143FD2">
              <w:rPr>
                <w:noProof/>
              </w:rPr>
            </w:r>
            <w:r w:rsidR="00143FD2">
              <w:rPr>
                <w:noProof/>
              </w:rPr>
              <w:fldChar w:fldCharType="separate"/>
            </w:r>
            <w:r w:rsidR="00143FD2">
              <w:rPr>
                <w:noProof/>
              </w:rPr>
              <w:t>65</w:t>
            </w:r>
            <w:r w:rsidR="00143FD2">
              <w:rPr>
                <w:noProof/>
              </w:rPr>
              <w:fldChar w:fldCharType="end"/>
            </w:r>
          </w:hyperlink>
        </w:p>
        <w:p w14:paraId="5C351F94" w14:textId="6712338E" w:rsidR="00143FD2" w:rsidRDefault="00B60110">
          <w:pPr>
            <w:pStyle w:val="TOC2"/>
            <w:tabs>
              <w:tab w:val="right" w:leader="dot" w:pos="9016"/>
            </w:tabs>
            <w:rPr>
              <w:rFonts w:asciiTheme="minorHAnsi" w:eastAsiaTheme="minorEastAsia" w:hAnsiTheme="minorHAnsi" w:cstheme="minorBidi"/>
              <w:noProof/>
              <w:color w:val="auto"/>
              <w:sz w:val="22"/>
              <w:szCs w:val="22"/>
            </w:rPr>
          </w:pPr>
          <w:hyperlink w:anchor="_Toc241018078" w:history="1">
            <w:r w:rsidR="00143FD2">
              <w:rPr>
                <w:rStyle w:val="Hyperlink"/>
                <w:noProof/>
              </w:rPr>
              <w:t>Appendix C: Completed UWTSD Application for Ethical Approval (PG2)</w:t>
            </w:r>
            <w:r w:rsidR="00143FD2">
              <w:rPr>
                <w:noProof/>
              </w:rPr>
              <w:tab/>
            </w:r>
            <w:r w:rsidR="00143FD2">
              <w:rPr>
                <w:noProof/>
              </w:rPr>
              <w:fldChar w:fldCharType="begin"/>
            </w:r>
            <w:r w:rsidR="00143FD2">
              <w:rPr>
                <w:noProof/>
              </w:rPr>
              <w:instrText xml:space="preserve"> PAGEREF _Toc241018078 \h </w:instrText>
            </w:r>
            <w:r w:rsidR="00143FD2">
              <w:rPr>
                <w:noProof/>
              </w:rPr>
            </w:r>
            <w:r w:rsidR="00143FD2">
              <w:rPr>
                <w:noProof/>
              </w:rPr>
              <w:fldChar w:fldCharType="separate"/>
            </w:r>
            <w:r w:rsidR="00143FD2">
              <w:rPr>
                <w:noProof/>
              </w:rPr>
              <w:t>67</w:t>
            </w:r>
            <w:r w:rsidR="00143FD2">
              <w:rPr>
                <w:noProof/>
              </w:rPr>
              <w:fldChar w:fldCharType="end"/>
            </w:r>
          </w:hyperlink>
        </w:p>
        <w:p w14:paraId="5A0C0F95" w14:textId="7D096786" w:rsidR="00571993" w:rsidRDefault="00237399" w:rsidP="00143FD2">
          <w:r>
            <w:fldChar w:fldCharType="end"/>
          </w:r>
        </w:p>
      </w:sdtContent>
    </w:sdt>
    <w:p w14:paraId="1BBEB2D7" w14:textId="77777777" w:rsidR="00571993" w:rsidRDefault="00237399" w:rsidP="00143FD2">
      <w:r>
        <w:br w:type="page"/>
      </w:r>
    </w:p>
    <w:p w14:paraId="7DDFACE1" w14:textId="77777777" w:rsidR="00571993" w:rsidRDefault="00237399" w:rsidP="0098366A">
      <w:pPr>
        <w:pStyle w:val="Heading1"/>
        <w:jc w:val="both"/>
      </w:pPr>
      <w:bookmarkStart w:id="4" w:name="_Toc241018022"/>
      <w:r>
        <w:lastRenderedPageBreak/>
        <w:t>List of Tables</w:t>
      </w:r>
      <w:bookmarkEnd w:id="4"/>
    </w:p>
    <w:p w14:paraId="7D7FE9BF" w14:textId="6E0BCBF6" w:rsidR="00143FD2" w:rsidRDefault="00143FD2">
      <w:pPr>
        <w:pStyle w:val="TableofFigures"/>
        <w:tabs>
          <w:tab w:val="right" w:leader="dot" w:pos="9016"/>
        </w:tabs>
        <w:rPr>
          <w:noProof/>
        </w:rPr>
      </w:pPr>
      <w:r>
        <w:fldChar w:fldCharType="begin"/>
      </w:r>
      <w:r>
        <w:instrText xml:space="preserve"> TOC \h \z \c "Table" </w:instrText>
      </w:r>
      <w:r>
        <w:fldChar w:fldCharType="separate"/>
      </w:r>
      <w:hyperlink w:anchor="_Toc241018193" w:history="1">
        <w:r>
          <w:rPr>
            <w:rStyle w:val="Hyperlink"/>
            <w:noProof/>
          </w:rPr>
          <w:t>Table 1 Profile of the interview participants</w:t>
        </w:r>
        <w:r>
          <w:rPr>
            <w:noProof/>
            <w:webHidden/>
          </w:rPr>
          <w:tab/>
        </w:r>
        <w:r>
          <w:rPr>
            <w:noProof/>
            <w:webHidden/>
          </w:rPr>
          <w:fldChar w:fldCharType="begin"/>
        </w:r>
        <w:r>
          <w:rPr>
            <w:noProof/>
            <w:webHidden/>
          </w:rPr>
          <w:instrText xml:space="preserve"> PAGEREF _Toc241018193 \h </w:instrText>
        </w:r>
        <w:r>
          <w:rPr>
            <w:noProof/>
            <w:webHidden/>
          </w:rPr>
        </w:r>
        <w:r>
          <w:rPr>
            <w:noProof/>
            <w:webHidden/>
          </w:rPr>
          <w:fldChar w:fldCharType="separate"/>
        </w:r>
        <w:r>
          <w:rPr>
            <w:noProof/>
            <w:webHidden/>
          </w:rPr>
          <w:t>37</w:t>
        </w:r>
        <w:r>
          <w:rPr>
            <w:noProof/>
            <w:webHidden/>
          </w:rPr>
          <w:fldChar w:fldCharType="end"/>
        </w:r>
      </w:hyperlink>
    </w:p>
    <w:p w14:paraId="2F374E2E" w14:textId="650EBC0D" w:rsidR="00143FD2" w:rsidRDefault="00B60110">
      <w:pPr>
        <w:pStyle w:val="TableofFigures"/>
        <w:tabs>
          <w:tab w:val="right" w:leader="dot" w:pos="9016"/>
        </w:tabs>
        <w:rPr>
          <w:noProof/>
        </w:rPr>
      </w:pPr>
      <w:hyperlink w:anchor="_Toc241018194" w:history="1">
        <w:r w:rsidR="00143FD2">
          <w:rPr>
            <w:rStyle w:val="Hyperlink"/>
            <w:noProof/>
          </w:rPr>
          <w:t>Table 2 Summary of themes, constructs, evidence and interpretation</w:t>
        </w:r>
        <w:r w:rsidR="00143FD2">
          <w:rPr>
            <w:noProof/>
            <w:webHidden/>
          </w:rPr>
          <w:tab/>
        </w:r>
        <w:r w:rsidR="00143FD2">
          <w:rPr>
            <w:noProof/>
            <w:webHidden/>
          </w:rPr>
          <w:fldChar w:fldCharType="begin"/>
        </w:r>
        <w:r w:rsidR="00143FD2">
          <w:rPr>
            <w:noProof/>
            <w:webHidden/>
          </w:rPr>
          <w:instrText xml:space="preserve"> PAGEREF _Toc241018194 \h </w:instrText>
        </w:r>
        <w:r w:rsidR="00143FD2">
          <w:rPr>
            <w:noProof/>
            <w:webHidden/>
          </w:rPr>
        </w:r>
        <w:r w:rsidR="00143FD2">
          <w:rPr>
            <w:noProof/>
            <w:webHidden/>
          </w:rPr>
          <w:fldChar w:fldCharType="separate"/>
        </w:r>
        <w:r w:rsidR="00143FD2">
          <w:rPr>
            <w:noProof/>
            <w:webHidden/>
          </w:rPr>
          <w:t>44</w:t>
        </w:r>
        <w:r w:rsidR="00143FD2">
          <w:rPr>
            <w:noProof/>
            <w:webHidden/>
          </w:rPr>
          <w:fldChar w:fldCharType="end"/>
        </w:r>
      </w:hyperlink>
    </w:p>
    <w:p w14:paraId="7EC2BA88" w14:textId="77BF160C" w:rsidR="00143FD2" w:rsidRDefault="00143FD2" w:rsidP="00143FD2">
      <w:r>
        <w:fldChar w:fldCharType="end"/>
      </w:r>
    </w:p>
    <w:p w14:paraId="5AE237A8" w14:textId="77777777" w:rsidR="00143FD2" w:rsidRDefault="00143FD2" w:rsidP="00143FD2"/>
    <w:p w14:paraId="3FEEDE71" w14:textId="77777777" w:rsidR="00571993" w:rsidRDefault="00237399" w:rsidP="00143FD2">
      <w:r>
        <w:br w:type="page"/>
      </w:r>
    </w:p>
    <w:p w14:paraId="49D86DFE" w14:textId="77777777" w:rsidR="00571993" w:rsidRDefault="00237399" w:rsidP="0098366A">
      <w:pPr>
        <w:pStyle w:val="Heading1"/>
        <w:jc w:val="both"/>
      </w:pPr>
      <w:bookmarkStart w:id="5" w:name="_Toc241018023"/>
      <w:r>
        <w:lastRenderedPageBreak/>
        <w:t>List of Figures</w:t>
      </w:r>
      <w:bookmarkEnd w:id="5"/>
    </w:p>
    <w:p w14:paraId="519A8108" w14:textId="4C51DC6C" w:rsidR="00143FD2" w:rsidRDefault="00143FD2">
      <w:pPr>
        <w:pStyle w:val="TableofFigures"/>
        <w:tabs>
          <w:tab w:val="right" w:leader="dot" w:pos="9016"/>
        </w:tabs>
        <w:rPr>
          <w:rFonts w:asciiTheme="minorHAnsi" w:eastAsiaTheme="minorEastAsia" w:hAnsiTheme="minorHAnsi" w:cstheme="minorBidi"/>
          <w:noProof/>
          <w:color w:val="auto"/>
          <w:sz w:val="22"/>
          <w:szCs w:val="22"/>
        </w:rPr>
      </w:pPr>
      <w:r>
        <w:fldChar w:fldCharType="begin"/>
      </w:r>
      <w:r>
        <w:instrText xml:space="preserve"> TOC \h \z \c "Figure" </w:instrText>
      </w:r>
      <w:r>
        <w:fldChar w:fldCharType="separate"/>
      </w:r>
      <w:hyperlink w:anchor="_Toc241018203" w:history="1">
        <w:r>
          <w:rPr>
            <w:rStyle w:val="Hyperlink"/>
            <w:noProof/>
          </w:rPr>
          <w:t>Figure 1 The Research Onion (adapted from Saunders, Lewis and Thornhill, 2023)</w:t>
        </w:r>
        <w:r>
          <w:rPr>
            <w:noProof/>
            <w:webHidden/>
          </w:rPr>
          <w:tab/>
        </w:r>
        <w:r>
          <w:rPr>
            <w:noProof/>
            <w:webHidden/>
          </w:rPr>
          <w:fldChar w:fldCharType="begin"/>
        </w:r>
        <w:r>
          <w:rPr>
            <w:noProof/>
            <w:webHidden/>
          </w:rPr>
          <w:instrText xml:space="preserve"> PAGEREF _Toc241018203 \h </w:instrText>
        </w:r>
        <w:r>
          <w:rPr>
            <w:noProof/>
            <w:webHidden/>
          </w:rPr>
        </w:r>
        <w:r>
          <w:rPr>
            <w:noProof/>
            <w:webHidden/>
          </w:rPr>
          <w:fldChar w:fldCharType="separate"/>
        </w:r>
        <w:r>
          <w:rPr>
            <w:noProof/>
            <w:webHidden/>
          </w:rPr>
          <w:t>28</w:t>
        </w:r>
        <w:r>
          <w:rPr>
            <w:noProof/>
            <w:webHidden/>
          </w:rPr>
          <w:fldChar w:fldCharType="end"/>
        </w:r>
      </w:hyperlink>
    </w:p>
    <w:p w14:paraId="203651D4" w14:textId="2F54DFC8" w:rsidR="00143FD2" w:rsidRDefault="00143FD2" w:rsidP="00143FD2">
      <w:r>
        <w:fldChar w:fldCharType="end"/>
      </w:r>
    </w:p>
    <w:p w14:paraId="6CA8B4F9" w14:textId="1F339D0F" w:rsidR="00143FD2" w:rsidRDefault="00143FD2" w:rsidP="00143FD2"/>
    <w:p w14:paraId="1A1D11CF" w14:textId="77777777" w:rsidR="00143FD2" w:rsidRDefault="00143FD2" w:rsidP="00143FD2"/>
    <w:p w14:paraId="1F70FB34" w14:textId="77777777" w:rsidR="00571993" w:rsidRDefault="00237399" w:rsidP="00143FD2">
      <w:r>
        <w:br w:type="page"/>
      </w:r>
    </w:p>
    <w:p w14:paraId="4C61C39F" w14:textId="77777777" w:rsidR="00571993" w:rsidRDefault="00237399" w:rsidP="0098366A">
      <w:pPr>
        <w:pStyle w:val="Heading1"/>
        <w:jc w:val="both"/>
      </w:pPr>
      <w:bookmarkStart w:id="6" w:name="_Toc241018024"/>
      <w:r>
        <w:lastRenderedPageBreak/>
        <w:t>Chapter One: Introduction</w:t>
      </w:r>
      <w:bookmarkEnd w:id="6"/>
    </w:p>
    <w:p w14:paraId="5D9A7A69" w14:textId="77777777" w:rsidR="00571993" w:rsidRDefault="00237399" w:rsidP="0098366A">
      <w:pPr>
        <w:pStyle w:val="Heading2"/>
      </w:pPr>
      <w:bookmarkStart w:id="7" w:name="_Toc241018025"/>
      <w:r>
        <w:t>1.1 Background of the Study</w:t>
      </w:r>
      <w:bookmarkEnd w:id="7"/>
    </w:p>
    <w:p w14:paraId="0A56EB36" w14:textId="77777777" w:rsidR="00571993" w:rsidRDefault="00237399" w:rsidP="00143FD2">
      <w:r>
        <w:t>The pressure between the increasing requirements of work and the need for personal life protection shapes work today. For many, the struggle between work and home becomes a permanent reality due to increased competition and communication with employees after hours through digital tools (Guest, 2017). An imbalance is proven as a cause of stress that can erode emotional and daily working lives over time (Ratnaningsih and Idris, 2024). From an organisational perspective, alleviating this pressure not only involves fair employment practice, but also relates to productivity, commitment and competitiveness (Wong, Chan and Teh, 2020).</w:t>
      </w:r>
    </w:p>
    <w:p w14:paraId="438A1AA8" w14:textId="77777777" w:rsidR="00571993" w:rsidRDefault="00237399" w:rsidP="00143FD2">
      <w:r>
        <w:t>In response, HR practice has vigorously advocated for formal work-life balance (WLB) policies, including flexible schedules, work from home and hybrid working, and enhanced leave (Kelliher, Richardson and Boiarintseva, 2019). A significant amount of research indicates that these arrangements are correlated with overall organisational outcomes (Wong et al., 2020). But this is the same conclusion in a separate review for the specific relationship between these arrangements and work engagement (Wood et al., 2020). However, a definite contradiction has arisen. Having WLB policies does not always mean that they are being implemented or that they are having a positive effect on people’s well-being (Inegbedion, 2024). What often happens is that the employees find that the culture of their organisations silently punishes those that actually implement the policies, which means that the support given to them is a new source of worry in their careers (Williams, Blair-Loy and Berdahl, 2013).</w:t>
      </w:r>
    </w:p>
    <w:p w14:paraId="242D8709" w14:textId="52BE16A5" w:rsidR="00571993" w:rsidRDefault="00237399" w:rsidP="00143FD2">
      <w:r>
        <w:t xml:space="preserve">Work-life balance is defined in this research as a balance that is continually negotiated by people between work and the rest of their life (Clark, 2000). The study is underpinned by three theoretical frameworks, two of which help explain the above paradox: Spillover Theory and the Job Demands-Resources (JD-R) model. Spillover Theory states that stress from work spills over into the family and vice versa, causing conflict between the two areas of life (Staines, 1980). In a related account, border theory, people actively manage the boundary between those domains (Clark, 2000). Exhaustion is likely to occur when the mental effort required for a job is high, but there is little opportunity for recovery (Ratnaningsih and Idris, 2024). According to the JD-R model, WLB policies are supposed to serve as resources for compensating for the demands of the job (Demerouti et al., 2001). Subsequent studies validate this, as such resources are found to be particularly important when demands are high (Bakker and Demerouti, 2017). In the absence of those resources, or when they are present but inaccessible due to culture, the </w:t>
      </w:r>
      <w:r>
        <w:lastRenderedPageBreak/>
        <w:t>consequences are likely to be poorer well-being, which is a known contributor to the intention to leave (Kelliher and Anderson, 2010).</w:t>
      </w:r>
    </w:p>
    <w:p w14:paraId="01A21C3F" w14:textId="77777777" w:rsidR="00571993" w:rsidRDefault="00237399" w:rsidP="00143FD2">
      <w:r>
        <w:t>The chain is centred around engagement. Engagement is not just job satisfaction, but the level of energy and absorption that employees put into their jobs when they bring their “best self” to their work, and must have the emotional and mental resources to do so (Kahn, 1990). A failure in WLB policies has a negative effect, as it is intended to protect the capacity of engagement, which in turn draws on the capacities of WLB (Rich, LePine and Crawford, 2010). This is a psychological shift, from an administrative question (which policies does a firm offer?) to a psychological question (do those policies feel like support to the person?).</w:t>
      </w:r>
    </w:p>
    <w:p w14:paraId="4322444D" w14:textId="77777777" w:rsidR="00571993" w:rsidRDefault="00237399" w:rsidP="00143FD2">
      <w:r>
        <w:t>The retention issue, therefore, can no longer be addressed by just checking off the list of policies that are on paper. Previous research focused on organisational commitment, sometimes with reference to the costs an employee might incur in leaving an organisation (Meyer and Allen, 1991). Other more recent accounts suggest that a true, emotional connection to the job is necessary for workers to remain, rather than a feeling of entrapment (Meyer et al., 2002). What makes that connection become commitment is a supportive organisational climate (Berberoglu, 2018). Here we argue that real retention is an active decision and that having policies which support well-being works best when the needs of the employees align with the goals of the organisation (Inegbedion, 2024).</w:t>
      </w:r>
    </w:p>
    <w:p w14:paraId="14A30648" w14:textId="3ACE0F81" w:rsidR="00571993" w:rsidRDefault="00237399" w:rsidP="00143FD2">
      <w:r>
        <w:t>The picture is further complicated by the fact that the spread of WLB provision is not even. Job function can present a variety of remote and hybrid opportunities, particularly in knowledge-based areas, but there is a limit in frontline jobs like healthcare, due to the physical nature of the work (Chung, 2022). Further evidence is found in the UK, where home-working is still limited to particular occupations (Felstead and Reuschke, 2020). The lack of uniformity in the landscape also results in very different realities in the same policy label in different workplaces, which is one of the reasons why it’s beneficial to have a cross-sector perspective. As a result, it is important to understand how WLB policies are perceived, applied and experienced in the workplace of employees first (Putnam, Myers and Gailliard, 2014). This context helps to introduce the importance of investigating employees’ subjective, lived experiences to understand the experiences of WLB policies on actual employee well-being, engagement, and long-term retention (Kahn, 1990).</w:t>
      </w:r>
    </w:p>
    <w:p w14:paraId="0E35A740" w14:textId="3B5DFE7E" w:rsidR="00143FD2" w:rsidRDefault="00143FD2" w:rsidP="00143FD2"/>
    <w:p w14:paraId="1FF9031D" w14:textId="77777777" w:rsidR="00143FD2" w:rsidRDefault="00143FD2" w:rsidP="00143FD2"/>
    <w:p w14:paraId="4D34C1F6" w14:textId="77777777" w:rsidR="00571993" w:rsidRDefault="00237399" w:rsidP="0098366A">
      <w:pPr>
        <w:pStyle w:val="Heading2"/>
      </w:pPr>
      <w:bookmarkStart w:id="8" w:name="_Toc241018026"/>
      <w:r>
        <w:lastRenderedPageBreak/>
        <w:t>1.2 Problem Statement</w:t>
      </w:r>
      <w:bookmarkEnd w:id="8"/>
    </w:p>
    <w:p w14:paraId="7C01D0FB" w14:textId="77777777" w:rsidR="00571993" w:rsidRDefault="00237399" w:rsidP="00143FD2">
      <w:r>
        <w:t>Although there are significant investments being made in WLB models, many professions report increased burnout, disengagement and turnover. However, there is a lack of clarity in the literature on the implementation of WLB, despite the positive correlation between WLB availability and overall organisational performance (Wong, Chan and Teh, 2020). The real challenge is that providing formal WLB policies does not necessarily result in the desired outcomes of attachment, engagement and retention (Inegbedion, 2024).</w:t>
      </w:r>
    </w:p>
    <w:p w14:paraId="6CBB2C7C" w14:textId="77777777" w:rsidR="00571993" w:rsidRDefault="00237399" w:rsidP="00143FD2">
      <w:r>
        <w:t>Often staff are trapped in a paradox: policies are laid out in the staff handbook but are difficult to implement in practice. Flexible offers can be seen as a burden on the person and a cultural taboo, and when combined with heavy workloads can cause a feeling of career anxiety for those who choose to take them up (Williams, Blair-Loy and Berdahl, 2013). Recent studies reveal that flexible workers are perceived as less committed than those who are always on-site (Munsch, 2016). When this occurs, low well-being and increased workload are powerful motivators of an employee’s desire to quit the organisation (Kelliher and Anderson, 2010).</w:t>
      </w:r>
    </w:p>
    <w:p w14:paraId="63A68243" w14:textId="77777777" w:rsidR="00571993" w:rsidRDefault="00237399" w:rsidP="00143FD2">
      <w:r>
        <w:t>In the light of JD-R, this is a resource failure since WLB policies are not readily available resources to buffer the constant demands of modern work (Bakker and Demerouti, 2017). This unrelieved work stress then spills over into personal life and increases the conflict, known as Spillover Theory (Staines, 1980). The negative spillover is proven to be a real route to exhaustion (Ratnaningsih and Idris, 2024). If this support is not actually usable, over time employees tune out emotionally and become disengaged (Kahn, 1990).</w:t>
      </w:r>
    </w:p>
    <w:p w14:paraId="05E02FDE" w14:textId="71AA2FB8" w:rsidR="00571993" w:rsidRDefault="00237399" w:rsidP="00143FD2">
      <w:r>
        <w:t>Another issue is the methodology used for studying the topic. Current studies mostly focus on quantitative surveys including counting of policies and measuring turnover, but without providing psychological explanations for the numbers (Wong, Chan and Teh, 2020). This is only a small part of what is not explored in the lived experience of employees. This study then specifically aims to address the scarcity of deep, qualitative evidence of the daily experiences of professionals in relation to the processes of perception, internalisation and response to WLB policies. For organisations, it is important to see that there are more than just policy drivers that need to be considered when retaining valued staff, and understanding these subjective mechanisms should aid in that.</w:t>
      </w:r>
    </w:p>
    <w:p w14:paraId="28F59E41" w14:textId="0FDCAECA" w:rsidR="00143FD2" w:rsidRDefault="00143FD2" w:rsidP="00143FD2"/>
    <w:p w14:paraId="202A4411" w14:textId="77777777" w:rsidR="00143FD2" w:rsidRDefault="00143FD2" w:rsidP="00143FD2"/>
    <w:p w14:paraId="0498FDDE" w14:textId="77777777" w:rsidR="00571993" w:rsidRDefault="00237399" w:rsidP="0098366A">
      <w:pPr>
        <w:pStyle w:val="Heading2"/>
      </w:pPr>
      <w:bookmarkStart w:id="9" w:name="_Toc241018027"/>
      <w:r>
        <w:lastRenderedPageBreak/>
        <w:t>1.3 Research Rationale</w:t>
      </w:r>
      <w:bookmarkEnd w:id="9"/>
    </w:p>
    <w:p w14:paraId="7C4FD32F" w14:textId="77777777" w:rsidR="00571993" w:rsidRDefault="00237399" w:rsidP="00143FD2">
      <w:r>
        <w:t>While there is strong evidence that formal WLB policies are associated with organisational performance (Wong, Chan and Teh, 2020), less is known about the psychological mechanisms that underpin this relationship. The link with work engagement in particular is also robust (Wood et al., 2020). The majority of the existing literature has been on the availability of policies and not on their lived experience (Putnam, Myers and Gailliard, 2014). According to the Spillover Theory, high work stress can spill over into the personal life, negatively impacting well-being and attachment (Staines, 1980). As revealed by a recent review, this is an active route to exhaustion (Ratnaningsih and Idris, 2024). Lower well-being is, in turn, a well-known predictor of turnover intent in all industries (Kelliher and Anderson, 2010).</w:t>
      </w:r>
    </w:p>
    <w:p w14:paraId="1D65B25B" w14:textId="77777777" w:rsidR="00571993" w:rsidRDefault="00237399" w:rsidP="00143FD2">
      <w:r>
        <w:t>However, the connection may not be sufficient to account for the poor tracking of policy availability to actual engagement. Inegbedion (2024) suggests that the link between support and commitment is more nuanced than simply strengthening, as it only works if it is mediated by job satisfaction. In contemporary writing, another argument is that retention requires more than obligation or the figure of the cost of leaving; it requires active, feeling commitment (Meyer et al., 2002). This is fostered in the organisation’s supportive environment (Berberoglu, 2018). When a culture sanctions the use of flexible arrangements, these purposes can instead be a source of stress (Williams, Blair-Loy and Berdahl, 2013).</w:t>
      </w:r>
    </w:p>
    <w:p w14:paraId="6177FF55" w14:textId="77777777" w:rsidR="00571993" w:rsidRDefault="00237399" w:rsidP="00143FD2">
      <w:r>
        <w:t>This study is thus warranted given the need to go beyond surface-level, quantitative policy audits (Wong, Chan and Teh, 2020). Survey approaches overshadow the actual experience and feelings of employees (Saunders, Lewis and Thornhill, 2023). The study employs a qualitative interpretivist approach, which seeks to overcome the negative aspects of designs that convert human experience into statistical variables (Creswell and Creswell, 2018). The point is not to produce a broad range of data but a range of quality data; the opportunity to hear the story behind the numbers in employees’ own voice.</w:t>
      </w:r>
    </w:p>
    <w:p w14:paraId="538B5B82" w14:textId="77777777" w:rsidR="00571993" w:rsidRDefault="00237399" w:rsidP="00143FD2">
      <w:r>
        <w:t>This rationale and planning is enhanced by the cross-sector design. The accessibility and utility of WLB policies will vary on the basis of the nature of the work (Chung, 2022); therefore, it is feasible to examine professionals who work across multiple sectors simultaneously in order to observe both patterns of commonality across workplaces and differences that are specific to a given workplace. It is hard to do this in a single-site study, and it is a contribution this project hopes to make.</w:t>
      </w:r>
    </w:p>
    <w:p w14:paraId="24427F31" w14:textId="77777777" w:rsidR="00571993" w:rsidRDefault="00237399" w:rsidP="00143FD2">
      <w:r>
        <w:lastRenderedPageBreak/>
        <w:t>Failure to address this implementation gap will mean that sub-optimal practice continues to occur and will contribute to the cost of high turnover, recruitment and sickness absence. This research documents how professionals experience, internalise and enact WLB systems in their context. Knowing about these subjective mechanisms is important for HR practitioners who wish to implement measures that are embedded in culture and actually improve well-being, stimulate engagement and help remedy the retention issue (Kelliher, Richardson and Boiarintseva, 2019).</w:t>
      </w:r>
    </w:p>
    <w:p w14:paraId="26164309" w14:textId="77777777" w:rsidR="00571993" w:rsidRDefault="00237399" w:rsidP="0098366A">
      <w:pPr>
        <w:pStyle w:val="Heading2"/>
      </w:pPr>
      <w:bookmarkStart w:id="10" w:name="_Toc241018028"/>
      <w:r>
        <w:t>1.4 Research Aim</w:t>
      </w:r>
      <w:bookmarkEnd w:id="10"/>
    </w:p>
    <w:p w14:paraId="3F1667A4" w14:textId="61778E7B" w:rsidR="00571993" w:rsidRDefault="00237399" w:rsidP="00143FD2">
      <w:r>
        <w:t>This research aims to examine employees’ perceptions of the impact of work-life balance (WLB) policies on their well-being, engagement, and retention across different professional sectors.</w:t>
      </w:r>
    </w:p>
    <w:p w14:paraId="5992E155" w14:textId="77777777" w:rsidR="00571993" w:rsidRDefault="00237399" w:rsidP="0098366A">
      <w:pPr>
        <w:pStyle w:val="Heading2"/>
      </w:pPr>
      <w:bookmarkStart w:id="11" w:name="_Toc241018029"/>
      <w:r>
        <w:t>1.5 Research Objectives</w:t>
      </w:r>
      <w:bookmarkEnd w:id="11"/>
    </w:p>
    <w:p w14:paraId="72DB6326" w14:textId="42A1FD05" w:rsidR="00571993" w:rsidRDefault="00237399" w:rsidP="00143FD2">
      <w:r>
        <w:t>The objectives of this study are to:</w:t>
      </w:r>
    </w:p>
    <w:p w14:paraId="6577B0DF" w14:textId="5B7477B7" w:rsidR="00571993" w:rsidRDefault="00237399" w:rsidP="0098366A">
      <w:pPr>
        <w:pStyle w:val="ListParagraph"/>
        <w:numPr>
          <w:ilvl w:val="0"/>
          <w:numId w:val="2"/>
        </w:numPr>
        <w:spacing w:after="120" w:line="360" w:lineRule="auto"/>
        <w:jc w:val="both"/>
      </w:pPr>
      <w:r>
        <w:t>identify and assess the existing WLB policies across the sectors studied;</w:t>
      </w:r>
    </w:p>
    <w:p w14:paraId="3BC955D2" w14:textId="1E218B96" w:rsidR="00571993" w:rsidRDefault="00237399" w:rsidP="0098366A">
      <w:pPr>
        <w:pStyle w:val="ListParagraph"/>
        <w:numPr>
          <w:ilvl w:val="0"/>
          <w:numId w:val="2"/>
        </w:numPr>
        <w:spacing w:after="120" w:line="360" w:lineRule="auto"/>
        <w:jc w:val="both"/>
      </w:pPr>
      <w:r>
        <w:t>review employees’ experiences of the impact of WLB policies on their psychological health, well-being, and engagement at work;</w:t>
      </w:r>
    </w:p>
    <w:p w14:paraId="35EE27F7" w14:textId="54794B47" w:rsidR="00571993" w:rsidRDefault="00237399" w:rsidP="0098366A">
      <w:pPr>
        <w:pStyle w:val="ListParagraph"/>
        <w:numPr>
          <w:ilvl w:val="0"/>
          <w:numId w:val="2"/>
        </w:numPr>
        <w:spacing w:after="120" w:line="360" w:lineRule="auto"/>
        <w:jc w:val="both"/>
      </w:pPr>
      <w:r>
        <w:t>evaluate the relationship between the perceived effectiveness of WLB policies and employees’ intention to stay; and</w:t>
      </w:r>
    </w:p>
    <w:p w14:paraId="0C7FFDEF" w14:textId="440A2232" w:rsidR="00571993" w:rsidRDefault="00237399" w:rsidP="0098366A">
      <w:pPr>
        <w:pStyle w:val="ListParagraph"/>
        <w:numPr>
          <w:ilvl w:val="0"/>
          <w:numId w:val="2"/>
        </w:numPr>
        <w:spacing w:after="120" w:line="360" w:lineRule="auto"/>
        <w:jc w:val="both"/>
      </w:pPr>
      <w:r>
        <w:t>make evidence-based recommendations for management to enhance WLB policies and support workforce retention.</w:t>
      </w:r>
    </w:p>
    <w:p w14:paraId="253D6D14" w14:textId="77777777" w:rsidR="00571993" w:rsidRDefault="00237399" w:rsidP="0098366A">
      <w:pPr>
        <w:pStyle w:val="Heading2"/>
      </w:pPr>
      <w:bookmarkStart w:id="12" w:name="_Toc241018030"/>
      <w:r>
        <w:t>1.6 Research Question</w:t>
      </w:r>
      <w:bookmarkEnd w:id="12"/>
    </w:p>
    <w:p w14:paraId="408E5508" w14:textId="53CEB41A" w:rsidR="00571993" w:rsidRDefault="00237399" w:rsidP="00143FD2">
      <w:r>
        <w:t>The research question is: How effective are work-life balance policies in affecting employee well-being, engagement and retention across different professional sectors?</w:t>
      </w:r>
    </w:p>
    <w:p w14:paraId="2F60F9A9" w14:textId="77777777" w:rsidR="00571993" w:rsidRDefault="00237399" w:rsidP="0098366A">
      <w:pPr>
        <w:pStyle w:val="Heading2"/>
      </w:pPr>
      <w:bookmarkStart w:id="13" w:name="_Toc241018031"/>
      <w:r>
        <w:t>1.7 Structure of the Study</w:t>
      </w:r>
      <w:bookmarkEnd w:id="13"/>
    </w:p>
    <w:p w14:paraId="3656957F" w14:textId="77777777" w:rsidR="00571993" w:rsidRDefault="00237399" w:rsidP="00143FD2">
      <w:r>
        <w:t>Chapter One (Introduction) has established the background, problem statement and rationale, along with the aim, objectives, and research question, which will guide this qualitative study.</w:t>
      </w:r>
    </w:p>
    <w:p w14:paraId="32B1FF75" w14:textId="77777777" w:rsidR="00571993" w:rsidRDefault="00237399" w:rsidP="00143FD2">
      <w:r>
        <w:t xml:space="preserve">Chapter Two (Literature Review) presents the most salient theories that support the study such as Spillover Theory, the JD-R model and the theory of engagement by Kahn. It provides an </w:t>
      </w:r>
      <w:r>
        <w:lastRenderedPageBreak/>
        <w:t>overview of the status of WLB policy in each sector, looks at the psychological impact of these policies on engagement, and explores the relationship between perceived effectiveness of these policies and intention to leave, and then outlines the gap this study will fill.</w:t>
      </w:r>
    </w:p>
    <w:p w14:paraId="71A1E891" w14:textId="77777777" w:rsidR="00571993" w:rsidRDefault="00237399" w:rsidP="00143FD2">
      <w:r>
        <w:t>Chapter Three (Research Methodology) clarifies and rationalises the interpretivist philosophy, the inductive approach, and mono-method qualitative design. It lays out the use of semi-structured interviews, purposive sampling, reflexive thematic analysis, and how the quality of the findings was ensured as well as how the ethical requirements were met.</w:t>
      </w:r>
    </w:p>
    <w:p w14:paraId="6B64044D" w14:textId="77777777" w:rsidR="00571993" w:rsidRDefault="00237399" w:rsidP="00143FD2">
      <w:r>
        <w:t>Chapter Four (Findings and Discussion) addresses each research objective and presents the themes that emerged from the data gathered in the interviews and how the themes relate to the literature and/or the conceptual framework.</w:t>
      </w:r>
    </w:p>
    <w:p w14:paraId="7705E11A" w14:textId="004CAF49" w:rsidR="00571993" w:rsidRDefault="00237399" w:rsidP="00143FD2">
      <w:r>
        <w:t>Chapter Five (Conclusions and Recommendations) provides the findings of each objective, the answer to the research question, the contribution to knowledge, recommendations for management, limitations of the study and future research directions.</w:t>
      </w:r>
    </w:p>
    <w:p w14:paraId="18ED29BC" w14:textId="285741EA" w:rsidR="00143FD2" w:rsidRDefault="00143FD2" w:rsidP="00143FD2"/>
    <w:p w14:paraId="36886E13" w14:textId="77777777" w:rsidR="00143FD2" w:rsidRDefault="00143FD2" w:rsidP="00143FD2"/>
    <w:p w14:paraId="37998846" w14:textId="77777777" w:rsidR="00571993" w:rsidRDefault="00237399" w:rsidP="00143FD2">
      <w:r>
        <w:br w:type="page"/>
      </w:r>
    </w:p>
    <w:p w14:paraId="180DB994" w14:textId="77777777" w:rsidR="00571993" w:rsidRDefault="00237399" w:rsidP="0098366A">
      <w:pPr>
        <w:pStyle w:val="Heading1"/>
        <w:jc w:val="both"/>
      </w:pPr>
      <w:bookmarkStart w:id="14" w:name="_Toc241018032"/>
      <w:r>
        <w:lastRenderedPageBreak/>
        <w:t>Chapter Two: Literature Review</w:t>
      </w:r>
      <w:bookmarkEnd w:id="14"/>
    </w:p>
    <w:p w14:paraId="61951591" w14:textId="77777777" w:rsidR="00571993" w:rsidRDefault="00237399" w:rsidP="0098366A">
      <w:pPr>
        <w:pStyle w:val="Heading2"/>
      </w:pPr>
      <w:bookmarkStart w:id="15" w:name="_Toc241018033"/>
      <w:r>
        <w:t>2.1 Introduction</w:t>
      </w:r>
      <w:bookmarkEnd w:id="15"/>
    </w:p>
    <w:p w14:paraId="2F693B5C" w14:textId="77777777" w:rsidR="00571993" w:rsidRDefault="00237399" w:rsidP="00143FD2">
      <w:r>
        <w:t>This chapter provides a literature review of work-life balance (WLB) policies, employee engagement and employee retention. It first introduces theoretical underpinnings of occupational well-being, namely the Spillover Theory, the Job Demands-Resources (JD-R) model and Kahn’s theory of engagement. It then explores the present situation of the WLB policy in various sectors and then focuses on how such policies impact on engagement on a day-to-day basis, psychologically. Last but not least, it examines the relationship between the perception of policy effectiveness and intention to turn over, as well as the discrepancy between perceived and actual policy experiences. In common usage the word is used in a broad sense and at the start of this document it is important to note that there is no single agreed definition of WLB. A large integrative review showed that the concept represents a general evaluation of the integration of the work and non-work domains (Sirgy and Lee, 2018). As a result, an earlier review had already highlighted that care must be taken to define the word “balance”, as it has a number of different meanings used by researchers (Kalliath and Brough, 2008).</w:t>
      </w:r>
    </w:p>
    <w:p w14:paraId="73171089" w14:textId="77777777" w:rsidR="00571993" w:rsidRDefault="00237399" w:rsidP="0098366A">
      <w:pPr>
        <w:pStyle w:val="Heading2"/>
      </w:pPr>
      <w:bookmarkStart w:id="16" w:name="_Toc241018034"/>
      <w:r>
        <w:t>2.2 Theoretical Overview</w:t>
      </w:r>
      <w:bookmarkEnd w:id="16"/>
    </w:p>
    <w:p w14:paraId="56E248FC" w14:textId="77777777" w:rsidR="00571993" w:rsidRDefault="00237399" w:rsidP="00143FD2">
      <w:r>
        <w:t>This study uses three existing frameworks to elucidate the psychological processes involved in retention. The Spillover Theory is a theory of the transfer of strain from work to home. The JD-R model is a model that explains how policies alleviate or exacerbate that strain. Kahn’s theory of engagement describes how the resulting well-being influences the effort that an employee will give.</w:t>
      </w:r>
    </w:p>
    <w:p w14:paraId="4216D712" w14:textId="77777777" w:rsidR="00571993" w:rsidRDefault="00237399" w:rsidP="0098366A">
      <w:pPr>
        <w:pStyle w:val="Heading3"/>
        <w:jc w:val="both"/>
      </w:pPr>
      <w:bookmarkStart w:id="17" w:name="_Toc241018035"/>
      <w:r>
        <w:t>2.2.1 Spillover Theory</w:t>
      </w:r>
      <w:bookmarkEnd w:id="17"/>
    </w:p>
    <w:p w14:paraId="01459A1F" w14:textId="77777777" w:rsidR="00571993" w:rsidRDefault="00237399" w:rsidP="00143FD2">
      <w:r>
        <w:t xml:space="preserve">The concepts of work-life interface have evolved from initial notions that work and life are distinct to the notion that work and home domains are permeable. This permeability is the main tenet of Spillover Theory which proposes that the emotions and behaviours developed at work permeate into the personal life sphere (Staines, 1980). A complementary view of psychological research, work-family border theory, suggests that people actively cross and negotiate the boundary between two life worlds instead of passively experiencing spillover effects (Clark, 2000). Spillover can be positive or negative and resources developed at home can enhance functioning at work, while the reverse can also be true (Grzywacz and Marks, 2000). But in </w:t>
      </w:r>
      <w:r>
        <w:lastRenderedPageBreak/>
        <w:t>stressful occupations, negative spillover prevails, and recent studies have shown that it is a dynamic pathway leading to emotional exhaustion (Ratnaningsih and Idris, 2024).</w:t>
      </w:r>
    </w:p>
    <w:p w14:paraId="66363CCC" w14:textId="77777777" w:rsidR="00571993" w:rsidRDefault="00237399" w:rsidP="00143FD2">
      <w:r>
        <w:t>The amount of stress that crosses the border is not predetermined but it is partly dependent upon how workers cross the border between work and home. Some employees have a very clear separation of the two, others a less clear separation; and the level of control that a person has over the boundary determines the amount of stress that radiates across it (Kossek and Lautsch, 2012). This matters for this study because a WLB policy needs to be more than just another policy; it needs to reinforce that boundary. Negative spillover effects can occur in the workplace when policies are put in place without working on the root causes of negative spillover effects, and in a short time, the intensification of the work will take away the protection of the policy (Kelliher and Anderson, 2010). Broadly speaking, this is a topic of employee well-being, a growing focus for HRM rather than an outcome of it (Guest, 2017). The Spillover Theory is thus a framework for understanding the spillover issue, but does not provide an explanation for why policies either work or fail; the JD-R model will help in explaining this.</w:t>
      </w:r>
    </w:p>
    <w:p w14:paraId="49C75E63" w14:textId="77777777" w:rsidR="00571993" w:rsidRDefault="00237399" w:rsidP="0098366A">
      <w:pPr>
        <w:pStyle w:val="Heading3"/>
        <w:jc w:val="both"/>
      </w:pPr>
      <w:bookmarkStart w:id="18" w:name="_Toc241018036"/>
      <w:r>
        <w:t>2.2.2 The Job Demands-Resources (JD-R) Model</w:t>
      </w:r>
      <w:bookmarkEnd w:id="18"/>
    </w:p>
    <w:p w14:paraId="007CE013" w14:textId="77777777" w:rsidR="00571993" w:rsidRDefault="00237399" w:rsidP="00143FD2">
      <w:r>
        <w:t>The JD-R model (first proposed as a burnout model by Demerouti et al., 2001) is employed in the study for the purpose of explaining how policies ease or worsen this spillover. The model categorises working conditions into two streams: job demands, which drain an employee’s energy; and job resources, which help to motivate workers and cushion the impact of demands (Bakker and Demerouti, 2007). In this context, policies for working hours flexibility or autonomy of remote working are also interpreted as “job resources”. Later, a restatement of the theory was made that validated the increase in value of resources when demands are high, meaning that it is precisely in the most pressured contexts in which it is the least likely to be used that the policy is most important (Bakker and Demerouti, 2017). This mechanism of demands and resources as a central and well-supported proposition remains as the most recent review of the model stipulates (Bakker, Demerouti and Sanz-Vergel, 2023).</w:t>
      </w:r>
    </w:p>
    <w:p w14:paraId="51ACDFCA" w14:textId="77777777" w:rsidR="00571993" w:rsidRDefault="00237399" w:rsidP="00143FD2">
      <w:r>
        <w:t xml:space="preserve">The buffer hypothesis is directly supported by empirical research with one study indicating that buffering of job resources reduces the relationship between job demands and burnout (Bakker, Demerouti and Euwema, 2005). A meta-analytic review of longitudinal studies has more recently been able to confirm that the resources reliably predict engagement over time, and the demands predict exhaustion over time (Lesener, Gusy and Wolter, 2019). In addition to job </w:t>
      </w:r>
      <w:r>
        <w:lastRenderedPageBreak/>
        <w:t>resources, personal resources (e.g., personal sense of control) also operate in a protective manner (Xanthopoulou et al., 2007). Nevertheless, this buffering is limited as resources can never be unlimited; there will be times when the demands are too great and sustained (Schaufeli and Taris, 2014). More recent work expands on the model by demonstrating that, for example, employees are active agents in their own demands and resources through, for instance, job crafting, which accounts for the different experiences with job tactics of two employees in the same role (Bakker and de Vries, 2021). The takeaway from this study is that adding a resource is not sufficient if the underlying demands remain overwhelming, as is often the case with seemingly progressive WLB policies and their disappointing retention outcomes.</w:t>
      </w:r>
    </w:p>
    <w:p w14:paraId="70122CA3" w14:textId="77777777" w:rsidR="00571993" w:rsidRDefault="00237399" w:rsidP="0098366A">
      <w:pPr>
        <w:pStyle w:val="Heading3"/>
        <w:jc w:val="both"/>
      </w:pPr>
      <w:bookmarkStart w:id="19" w:name="_Toc241018037"/>
      <w:r>
        <w:t>2.2.3 Kahn's Theory of Personal Engagement</w:t>
      </w:r>
      <w:bookmarkEnd w:id="19"/>
    </w:p>
    <w:p w14:paraId="04474FDF" w14:textId="77777777" w:rsidR="00571993" w:rsidRDefault="00237399" w:rsidP="00143FD2">
      <w:r>
        <w:t>Finally, buffering and avoiding negative spillover is an effort to make active engagement possible. The concept of engagement has been originally described as the way people bring and express their preferred self to their work under three conditions of meaningfulness, safety and availability (Kahn, 1990). The sense of being available, physically and emotionally attuned to the demands of the role, is the most clearly and immediately compromised by WLB deficits, and fatigued workers are unable to bring their whole selves to the job (Rich, LePine and Crawford, 2010). Another aspect of safety is also applicable, in that if a culture does not allow for flexible working methods, then workers are not likely to feel safe using these methods and become entrenched in a defensive stance (Saks, 2006).</w:t>
      </w:r>
    </w:p>
    <w:p w14:paraId="3ECFCBCB" w14:textId="77777777" w:rsidR="00571993" w:rsidRDefault="00237399" w:rsidP="00143FD2">
      <w:r>
        <w:t>It is important to note that engagement does not mean the lack of burnout; engagement and burnout exist on a continuum, but are separate states (Cole et al., 2012). The concept of burnout has long been recognised as a syndrome of exhaustion, cynicism and diminished productivity that occurs when the demands of the work outweigh one’s ability to cope (Maslach, Schaufeli and Leiter, 2001). There is also some evidence that engagement is not fixed and can be created, as a meta-analysis of interventions has identified interventions that can increase engagement (Knight, Patterson and Dawson, 2017). A longitudinal study also confirms that over time job resources and personal resources are the best predictors of engagement (Lesener et al., 2020). In sum, the studies here provide an explanation of how the study uses engagement as the outcome to be protected by WLB policies, rather than just satisfaction.</w:t>
      </w:r>
    </w:p>
    <w:p w14:paraId="44CA03E9" w14:textId="77777777" w:rsidR="00571993" w:rsidRDefault="00237399" w:rsidP="0098366A">
      <w:pPr>
        <w:pStyle w:val="Heading3"/>
        <w:jc w:val="both"/>
      </w:pPr>
      <w:bookmarkStart w:id="20" w:name="_Toc241018038"/>
      <w:r>
        <w:t>2.2.4 The Theoretical Intersection of Policy Failure</w:t>
      </w:r>
      <w:bookmarkEnd w:id="20"/>
    </w:p>
    <w:p w14:paraId="1504E155" w14:textId="77777777" w:rsidR="00571993" w:rsidRDefault="00237399" w:rsidP="00143FD2">
      <w:r>
        <w:t xml:space="preserve">When combined, the three frameworks provide a nice lens to view the retention issue. The unchecked work stress leads to damage to well-being, seen in the Spillover Theory </w:t>
      </w:r>
      <w:r>
        <w:lastRenderedPageBreak/>
        <w:t>(Ratnaningsih and Idris, 2024). The JD-R model suggests that the purpose of the introduction of WLB policies is indeed to reduce that stress; however, it also indicates that the stress has to be mitigated through additional reduction in core demands (Bakker and Demerouti, 2017). Withdrawal of emotional commitment to reduce risk occurs because of resource failure and negative spillover, according to Kahn’s theory (1990). Superficial WLB policies, therefore, tend to be unsuccessful since they provide a resource that can’t be accessed that treats the symptom rather than the unsustainable demands that are responsible for the spillover. This is one of the reasons why the outcomes of the performances reported in the wider literature are so mixed, as is explored in the next section (Wong, Chan and Teh, 2020).</w:t>
      </w:r>
    </w:p>
    <w:p w14:paraId="77452BA1" w14:textId="77777777" w:rsidR="00571993" w:rsidRDefault="00237399" w:rsidP="0098366A">
      <w:pPr>
        <w:pStyle w:val="Heading2"/>
      </w:pPr>
      <w:bookmarkStart w:id="21" w:name="_Toc241018039"/>
      <w:r>
        <w:t>2.3 The Cross-Sectoral Landscape of Work-Life Balance Policies</w:t>
      </w:r>
      <w:bookmarkEnd w:id="21"/>
    </w:p>
    <w:p w14:paraId="33A7B0B5" w14:textId="77777777" w:rsidR="00571993" w:rsidRDefault="00237399" w:rsidP="00143FD2">
      <w:r>
        <w:t>There has been a significant transformation of the understanding and institutionalisation of WLB policies in the UK labour market. One major development was the Employment Relations (Flexible Working) Act 2023, which enabled staff to make a request for flexible working from their first day of work. This measure is part of a broader process of normalisation of remote/hybrid work due to the pandemic, as highlighted in a briefing note from the UK Parliament (Dobbins, 2021). That change has been confirmed by official statistics which reveal that a significant minority of workers in the UK are now working from home at least some of the time (Office for National Statistics, 2023). Evidence from employers’ surveys also confirms that flexible and hybrid working are now part of the mainstream of UK businesses, and not just a fringe activity (Chartered Institute of Personnel and Development, 2023). However, despite its greater availability, the impact of it has still not been resolved due to mixed performance results found in the various studies (Wong, Chan and Teh, 2020). This implies that the implementation of policies is as important as the policy itself (Allen et al., 2013).</w:t>
      </w:r>
    </w:p>
    <w:p w14:paraId="4332D4EA" w14:textId="77777777" w:rsidR="00571993" w:rsidRDefault="00237399" w:rsidP="00143FD2">
      <w:r>
        <w:t xml:space="preserve">It is helpful to distinguish between temporal flexibility and spatial flexibility because flexitime is flexible in terms of when people work, while remote working is flexible in terms of where they work (Chung, 2022). In this regard, it can be said that spatial flexibility is found in sectors that are knowledge-based, while frontline sectors are constrained because of the physical nature of the job (Felstead and Reuschke, 2020). Early evidence in the UK also indicated remote work can increase one’s efforts and create a grey zone that is not intended to be created (Felstead and Henseke, 2017). Recently, a review model has suggested that it is the management and implementation of the flexibility policy that determines its value, not the policy name (Kossek, Perrigino and Lautsch, 2023). This is why assessing the WLB provision cannot be done by </w:t>
      </w:r>
      <w:r>
        <w:lastRenderedPageBreak/>
        <w:t>counting on policies and why the relationship between WLB and organisational performance is felt as indirect (Beauregard and Henry, 2009).</w:t>
      </w:r>
    </w:p>
    <w:p w14:paraId="101EE196" w14:textId="77777777" w:rsidR="00571993" w:rsidRDefault="00237399" w:rsidP="00143FD2">
      <w:r>
        <w:t>One of the primary debates in the literature is between the structural availability of a policy and the cultural accessibility (Putnam, Myers and Gailliard, 2014). A common implementation problem is that while progressive policies are in place in many organisations, cultures are not (Kelly et al., 2014). This gap is partly because of the “ideal worker” norm, believing that being always present is a sign of a person’s commitment (Williams, Blair-Loy and Berdahl, 2013). Tacitly denigrating the use of an approved arrangement mirrors that norm, and experimental evidence indicates that flexible workers may be perceived as less committed and less promotable than other workers who are always in the workplace (Munsch, 2016). This flexibility stigma is a gendered phenomenon as schedule control yields different results for men and women (Lott and Chung, 2016). Survey data from the UK also indicates that there is a significant proportion of working people who feel that there are real career disadvantages to working flexibly at work (Chung, 2020). One of the consequences of the stigma is that it defines who can access policies, and flexitime and teleworking have helped mothers in particular to stay in the labour force after having a child (Chung and van der Horst, 2018).</w:t>
      </w:r>
    </w:p>
    <w:p w14:paraId="0BC10366" w14:textId="2AF38DFE" w:rsidR="00571993" w:rsidRDefault="00237399" w:rsidP="00143FD2">
      <w:r>
        <w:t>This stigma has another layer of equity. The impact of flexible working has been theorised to either increase or decrease gender inequalities, depending on the cultural context in which it is implemented (Chung and van der Lippe, 2020). If the culture isn’t supportive, flexibility may be more likely to add unpaid overtime, without the parent or employee realising it, particularly for parents (Chung and van der Horst, 2020). The net effect is that a culturally blind policy, by itself, fails to soften the blow of demands, but instead introduces another source of anxiety, and when demands are heightened, the very well-being a policy had hoped to protect is eroded (Kelliher and Anderson, 2010). Employees are likely to suffer from presenteeism in such work environments, which involves feeling unwell or unproductive at work, but showing up anyway, as a form of communicating commitment (Johns, 2010). According to Miraglia and Johns (2016), in a meta-analysis of presenteeism, its link to health issues and to job and cultural pressures was revealed. In total, the literature indicates that the impact of WLB frameworks on reducing strain lies within a supportive climate and that WLB is a concept that needs to be reconceptualised around lived accessibility and not formal provision (Kelliher, Richardson and Boiarintseva, 2019).</w:t>
      </w:r>
    </w:p>
    <w:p w14:paraId="5C9B20DD" w14:textId="77777777" w:rsidR="00143FD2" w:rsidRDefault="00143FD2" w:rsidP="00143FD2"/>
    <w:p w14:paraId="06AC139C" w14:textId="77777777" w:rsidR="00571993" w:rsidRDefault="00237399" w:rsidP="0098366A">
      <w:pPr>
        <w:pStyle w:val="Heading2"/>
      </w:pPr>
      <w:bookmarkStart w:id="22" w:name="_Toc241018040"/>
      <w:r>
        <w:lastRenderedPageBreak/>
        <w:t>2.4 The Psychological Impact of WLB on Employee Engagement</w:t>
      </w:r>
      <w:bookmarkEnd w:id="22"/>
    </w:p>
    <w:p w14:paraId="1278F9F4" w14:textId="1FFBA19A" w:rsidR="00571993" w:rsidRDefault="00237399" w:rsidP="00143FD2">
      <w:r>
        <w:t xml:space="preserve">The second step is to zoom in from the broad picture, recognising that on-the-ground engagement depends on psychological availability as described previously (Kahn, 1990), and that WLB policies can have an impact on that. The empirical evidence presented shows a consistent relationship between the positive scores of WLB and work engagement in the studies (Wood et al., 2020). A meta-analysis shows that the organisational level of WLB arrangements is positively related to performance outcomes (Wong, Chan and </w:t>
      </w:r>
      <w:proofErr w:type="spellStart"/>
      <w:r>
        <w:t>Teh</w:t>
      </w:r>
      <w:proofErr w:type="spellEnd"/>
      <w:r>
        <w:t>, 2020). Much of this benefit has been credited to autonomy, and a preliminary meta-analysis showed that telecommuting was associated with higher job satisfaction and lower work-family conflict (Gajendran and Harrison, 2007). Qualitative research with remote workers also highlighted increased awareness of control of the working day as a positive aspect (Grant, Wallace and Spurgeon, 2013). The benefits were later broken down into distinct well-being dimensions and it was concluded that remote working has different impacts on affective, cognitive and social well-being (Charalampous et al., 2019).</w:t>
      </w:r>
    </w:p>
    <w:p w14:paraId="4619B48C" w14:textId="77777777" w:rsidR="00571993" w:rsidRDefault="00237399" w:rsidP="00143FD2">
      <w:r>
        <w:t>The results of the most authoritative early review of the effects of telecommuting on well-being were that the effects are real, although modest, and that the moderation of the effects is heavily influenced by the amount of time spent telecommuting (Allen, Golden and Shockley, 2015). A rare causal study, using a randomised field experiment, showed that working at home resulted in improvements to performance and satisfaction, as well as greater feelings of isolation (Bloom et al., 2015). A previous study had demonstrated that the nature of the association between telework and satisfaction is not monotonic, but is a function of the amount of telework (Golden and Veiga, 2005). As a combined result of these studies, it is not advised to view flexibility as an unqualified good.</w:t>
      </w:r>
    </w:p>
    <w:p w14:paraId="63302D75" w14:textId="77777777" w:rsidR="00571993" w:rsidRDefault="00237399" w:rsidP="00143FD2">
      <w:r>
        <w:t xml:space="preserve">But there is a contradiction when read closer, as the same policies that are intended to give autonomy can also take it away. This “autonomy paradox” occurs when flexible working is coupled with an “always on” digital culture which removes the distinction between work and home (Mazmanian, Orlikowski and Yates, 2013). A diary study revealed that the use of the smartphone at work was related to lower psychological detachment (Derks, van Mierlo and Schmitz, 2014) and higher exhaustion. Switching off one’s mind during downtime is, in turn, a significant factor in determining recovery and next-day well-being (Sonnentag and Bayer, 2005). In the broader culture of hyper-connectivity, flexibility can be an unseen agent that speeds up and extends the nature and intensity of work (Wajcman, 2015). For these reasons, </w:t>
      </w:r>
      <w:r>
        <w:lastRenderedPageBreak/>
        <w:t>alternative policies have been termed as providing two competing images, one freeing, the other limiting (Spreitzer, Cameron and Garrett, 2017), and the results as being shaped less by the policy than by how the worker manages the work-home boundary (Kossek and Lautsch, 2012).</w:t>
      </w:r>
    </w:p>
    <w:p w14:paraId="4A4CD019" w14:textId="77777777" w:rsidR="00571993" w:rsidRDefault="00237399" w:rsidP="00143FD2">
      <w:r>
        <w:t>There has been an abundance of evidence from the pandemic period that further refines this image. However, a big European study highlighted the benefits and drawbacks of home-working, including a better work-life balance, and home constraints and blurred boundaries (Ipsen et al., 2021). In their mixed-methods study, Wang et al. (2021) contend that job characteristics and not location are the key to effective remote working, and, consequently, to well-being. This resonates with a previous finding that it was job characteristics, and not the level of telecommuting, that predicted well-being rather than the actual telecommuting time (Vander Elst et al., 2017). Job crafting has been found to mitigate remote worker behavioural stress resulting from techno-overload (Ingusci et al., 2021). The term technostress itself came to the fore as a quantifiable cost of intensive technology use during forced home-working (Molino et al., 2020). This is in line with one study that found that working remotely is a double-edged sword with both pros and cons (Gillet et al., 2021).</w:t>
      </w:r>
    </w:p>
    <w:p w14:paraId="7FD82CD0" w14:textId="77777777" w:rsidR="00571993" w:rsidRDefault="00237399" w:rsidP="00143FD2">
      <w:r>
        <w:t xml:space="preserve">There have been a number of attempts to balance these benefits and risks in a systematic review. A review of evidence identified that remote working can be used to benefit both performance and well-being, if done appropriately (Ferrara et al., 2022). A more comprehensive integrative review revealed that virtual work does indeed have dual effects, and that moderating factors have an impact, including autonomy and support (Hill et al., 2024). A specific study on telework and health came to the same conclusion and suggested a multi-level structure of telework and well-being (Beckel and Fisher, 2022). Oakman et al. (2020) conducted a brief review of working at home and found that organisational and colleague support and work-family conflict were the key factors to health. A diary study in the UK added details, demonstrating that each of autonomy, psychological detachment, and loneliness had an impact on homeworkers’ well-being (Wood et al., 2021). In another study, autonomy and self-leadership were the ones that enabled home-workers to remain engaged and productive (Galanti et al., 2021). In contexts where those conditions did not exist, social isolation was related to decreased satisfaction with the remote work (Toscano and Zappalà, 2020). The studies of the remote, hybrid and on-site staff showed that the mode of working does not directly influence stress and engagement, but rather it interacts with them (Wontorczyk and Rożnowski, 2022). Last, the leadership adaptation is important, as it may either be supportive </w:t>
      </w:r>
      <w:r>
        <w:lastRenderedPageBreak/>
        <w:t>or unhelpful to the individuals who are confronted with it (Contreras, Baykal and Abid, 2020). This study uses a qualitative approach since its sole aim is to rely on the subjective factors that will determine the outcome and not just on a survey of the presence of the policy.</w:t>
      </w:r>
    </w:p>
    <w:p w14:paraId="233C30AF" w14:textId="77777777" w:rsidR="00571993" w:rsidRDefault="00237399" w:rsidP="0098366A">
      <w:pPr>
        <w:pStyle w:val="Heading2"/>
      </w:pPr>
      <w:bookmarkStart w:id="23" w:name="_Toc241018041"/>
      <w:r>
        <w:t>2.5 The Nexus Between Policy Effectiveness and Workforce Retention</w:t>
      </w:r>
      <w:bookmarkEnd w:id="23"/>
    </w:p>
    <w:p w14:paraId="57246CA2" w14:textId="77777777" w:rsidR="00571993" w:rsidRDefault="00237399" w:rsidP="00143FD2">
      <w:r>
        <w:t>After reviewing the psychological impact of WLB, the review focuses on the final focus of the study, retention. Turnover intention, which is the opposite of retention, is the best predictor of actual turnover, and is a measure often used to represent retention in the HR literature (Meyer et al., 2002). One hundred years of turnover research has confirmed that attitudes and perceived alternatives, not just the money, are factors that influence turnover (Hom et al., 2017). A sizeable meta-analysis also reveals that job attitudes and the work environment are the most critical antecedents of voluntary turnover (Rubenstein et al., 2018). When policies are not supportive of well-being, there is an increase in turnover intention, with initial separation becoming a plan to separate (Kelliher and Anderson, 2010).</w:t>
      </w:r>
    </w:p>
    <w:p w14:paraId="2B68727F" w14:textId="77777777" w:rsidR="00571993" w:rsidRDefault="00237399" w:rsidP="00143FD2">
      <w:r>
        <w:t>It is useful to reflect on the predominant model of commitment, which presents affective, normative, and continuance commitment (Meyer and Allen, 1991), to assess the link. The emotional attachment part of commitment has been suggested to be the most fundamental aspect of commitment and to be the most closely related to retention (Mercurio, 2015). In the past, organisations have relied on continuance commitment, that is, they have been able to retain employees who do not really value them because of the perceived cost of leaving the organisation (Meyer et al., 2002). Staffing on this basis has little impact on performance as it is a supportive organisational climate that makes commitment translate into effort (Berberoglu, 2018). The other way to build commitment is to build affective commitment, and evidence reveals that when the affective commitment is mediated by job satisfaction, then WLB support strengthens commitment (Inegbedion, 2024).</w:t>
      </w:r>
    </w:p>
    <w:p w14:paraId="60FD3E56" w14:textId="77777777" w:rsidR="00571993" w:rsidRDefault="00237399" w:rsidP="00143FD2">
      <w:r>
        <w:t xml:space="preserve">Perceived organisational support plays a key role in this, and a meta-analysis shows that it is a strong predictor of affective commitment and decreased withdrawal (Kurtessis et al., 2017). Support communicated specifically via managers is also relevant and a field experiment showed that human resource managers’ training in family-supportive behaviours decreased employees’ turnover intention (Hammer et al., 2011). In the workplace, the links between WLB support and job satisfaction and subsequently performance have been established and supportive supervision has been observed to enhance the relationship between the two (Susanto et al., 2022). The flip side of this is obvious: if employers outlay resources on employee health, </w:t>
      </w:r>
      <w:r>
        <w:lastRenderedPageBreak/>
        <w:t>employees will reciprocate their loyalty, and if the employers don’t, the counterproductive contract of flexibility rapidly comes undone, diminishing attachment (Williams, Blair-Loy and Berdahl, 2013).</w:t>
      </w:r>
    </w:p>
    <w:p w14:paraId="6E4D5F07" w14:textId="77777777" w:rsidR="00571993" w:rsidRDefault="00237399" w:rsidP="00143FD2">
      <w:r>
        <w:t>This is particularly evident in healthcare, where practitioners can act as test cases for this argument. Organisational support and workload were consistent factors impacting on intention to leave amongst healthcare workers, as identified in a systematic review (Poon et al., 2022). In a meta-analysis of nurse-related studies, it was found that perceived organisational support decreased the intention to leave among nurses (Galanis et al., 2024). The role of demands is also obvious as a large cross-national study revealed a relationship between long shifts and increased intention to leave and burnout among nurses (Dall’Ora et al., 2015). A theoretical conceptualisation of nursing burnout identifies these as being associated with chronic understaffing and unsustainable workloads (Dall’Ora et al., 2020). In the era of the pandemic, distress and dissatisfaction were found to further increase frontline nurses’ turnover intention (Labrague and de los Santos, 2021). This is a real workforce issue and there are significant vacancy and retention issues in the NHS (Buchan et al., 2019) in the UK sector analysis. With a survey, a nurse who is burnt out but not resigned would still be recorded as “retained”, and a qualitative approach would need to be used to differentiate between the two.</w:t>
      </w:r>
    </w:p>
    <w:p w14:paraId="29437E10" w14:textId="77777777" w:rsidR="00571993" w:rsidRDefault="00237399" w:rsidP="0098366A">
      <w:pPr>
        <w:pStyle w:val="Heading2"/>
      </w:pPr>
      <w:bookmarkStart w:id="24" w:name="_Toc241018042"/>
      <w:r>
        <w:t>2.6 Summary and Conceptual Framework Adopted</w:t>
      </w:r>
      <w:bookmarkEnd w:id="24"/>
    </w:p>
    <w:p w14:paraId="1D4802A8" w14:textId="77777777" w:rsidR="00571993" w:rsidRDefault="00237399" w:rsidP="00143FD2">
      <w:r>
        <w:t>Based on this review, the conceptual model of this study was developed based on five main variables, namely: job demands, WLB resources, emotional spillover, psychological engagement and turnover intention. These two components of the workplace experience, the demands and resources of the job, are the foundation under which the workplace experience is shaped, and an imbalance of this foundation is what the JD-R model defines as a trigger for strain (Bakker and Demerouti, 2017). If demands exceed available resources, then the negative spillover into personal life occurs as predicted by Spillover Theory (Staines, 1980). That spillover reduces the “psychological availability” that engagement demands (Kahn, 1990). Less involvement, consequently, drives turnover intent when commitment is just of the continuance type (Meyer and Allen, 1991).</w:t>
      </w:r>
    </w:p>
    <w:p w14:paraId="6E9AAE83" w14:textId="77777777" w:rsidR="00571993" w:rsidRDefault="00237399" w:rsidP="00143FD2">
      <w:r>
        <w:t xml:space="preserve">These five interacting constructs comprise the thematic lens that is used to interpret the data. The researcher pays attention to how the participants describe the tension between demands and resources, the reality of their emotional spillover, and its impact on their engagement and intention to stay as an initial orientation towards the constructs and is open to other themes. </w:t>
      </w:r>
      <w:r>
        <w:lastRenderedPageBreak/>
        <w:t>This study’s research gap is now evident. There is evidence in the literature that WLB policies have an impact on performance; however, the literature has not adequately explained why availability is not always genuine support in the eyes of employees. The methodology that is intended to fill that gap is outlined in the next chapter.</w:t>
      </w:r>
    </w:p>
    <w:p w14:paraId="3F25BC5E" w14:textId="77777777" w:rsidR="00571993" w:rsidRDefault="00237399" w:rsidP="00143FD2">
      <w:r>
        <w:br w:type="page"/>
      </w:r>
    </w:p>
    <w:p w14:paraId="25B847D4" w14:textId="77777777" w:rsidR="00571993" w:rsidRDefault="00237399" w:rsidP="0098366A">
      <w:pPr>
        <w:pStyle w:val="Heading1"/>
        <w:jc w:val="both"/>
      </w:pPr>
      <w:bookmarkStart w:id="25" w:name="_Toc241018043"/>
      <w:r>
        <w:lastRenderedPageBreak/>
        <w:t>Chapter Three: Research Methodology</w:t>
      </w:r>
      <w:bookmarkEnd w:id="25"/>
    </w:p>
    <w:p w14:paraId="29A85626" w14:textId="77777777" w:rsidR="00571993" w:rsidRDefault="00237399" w:rsidP="0098366A">
      <w:pPr>
        <w:pStyle w:val="Heading2"/>
      </w:pPr>
      <w:bookmarkStart w:id="26" w:name="_Toc241018044"/>
      <w:r>
        <w:t>3.1 Introduction</w:t>
      </w:r>
      <w:bookmarkEnd w:id="26"/>
    </w:p>
    <w:p w14:paraId="39FDCA3E" w14:textId="77777777" w:rsidR="00571993" w:rsidRDefault="00237399" w:rsidP="00143FD2">
      <w:r>
        <w:t>The study methodology is described in this chapter. It outlines the philosophical stance of the research, the rationale, the strategy and the methods of data collection and analysis. The “research onion” (Saunders, Lewis and Thornhill, 2023) is used to structure the discussion, which shows research design as a series of concentric rings ranging from the broad philosophical assumptions on the outer ring to the most practical data collection techniques on the inner ring. The rationale behind each layer is explained and justified in relation to the aim of the study, which is to explore how the employees perceive work-life balance (WLB) policies. The chapter also outlines the sampling strategy, the analytical process, the quality control measures implemented, and the limitations of the approach, as well as the ethical protections that were adopted.</w:t>
      </w:r>
    </w:p>
    <w:p w14:paraId="58448F94" w14:textId="77777777" w:rsidR="00571993" w:rsidRDefault="00237399" w:rsidP="0098366A">
      <w:pPr>
        <w:pStyle w:val="Heading2"/>
      </w:pPr>
      <w:bookmarkStart w:id="27" w:name="_Toc241018045"/>
      <w:r>
        <w:t>3.2 Research Aim and Objectives</w:t>
      </w:r>
      <w:bookmarkEnd w:id="27"/>
    </w:p>
    <w:p w14:paraId="5944FF8C" w14:textId="1373434D" w:rsidR="00571993" w:rsidRDefault="00237399" w:rsidP="00143FD2">
      <w:r>
        <w:t>The purpose and the goals are restated here in order to evaluate the methodological decisions in the light of the purpose and the goals of the study. This research aims to examine employees’ perceptions of the impact of WLB policies on their well-being, engagement, and retention across different professional sectors. The objectives of this study are to:</w:t>
      </w:r>
    </w:p>
    <w:p w14:paraId="470C9572" w14:textId="47E996D9" w:rsidR="00571993" w:rsidRDefault="00143FD2" w:rsidP="00143FD2">
      <w:pPr>
        <w:pStyle w:val="ListParagraph"/>
        <w:numPr>
          <w:ilvl w:val="0"/>
          <w:numId w:val="4"/>
        </w:numPr>
        <w:spacing w:after="120" w:line="360" w:lineRule="auto"/>
        <w:jc w:val="both"/>
      </w:pPr>
      <w:r>
        <w:t>identify and assess the existing WLB policies across the sectors studied;</w:t>
      </w:r>
    </w:p>
    <w:p w14:paraId="48CE0C5B" w14:textId="674CCD4F" w:rsidR="00571993" w:rsidRDefault="00143FD2" w:rsidP="00143FD2">
      <w:pPr>
        <w:pStyle w:val="ListParagraph"/>
        <w:numPr>
          <w:ilvl w:val="0"/>
          <w:numId w:val="4"/>
        </w:numPr>
        <w:spacing w:after="120" w:line="360" w:lineRule="auto"/>
        <w:jc w:val="both"/>
      </w:pPr>
      <w:r>
        <w:t>review employees’ experiences of the impact of WLB policies on their psychological health, well-being, and engagement at work;</w:t>
      </w:r>
    </w:p>
    <w:p w14:paraId="23BCE603" w14:textId="086D3EAC" w:rsidR="00571993" w:rsidRDefault="00143FD2" w:rsidP="00143FD2">
      <w:pPr>
        <w:pStyle w:val="ListParagraph"/>
        <w:numPr>
          <w:ilvl w:val="0"/>
          <w:numId w:val="4"/>
        </w:numPr>
        <w:spacing w:after="120" w:line="360" w:lineRule="auto"/>
        <w:jc w:val="both"/>
      </w:pPr>
      <w:r>
        <w:t>evaluate the relationship between the perceived effectiveness of WLB policies and employees’ intention to stay; and</w:t>
      </w:r>
    </w:p>
    <w:p w14:paraId="20D0CA99" w14:textId="620A0055" w:rsidR="00571993" w:rsidRDefault="00143FD2" w:rsidP="00143FD2">
      <w:pPr>
        <w:pStyle w:val="ListParagraph"/>
        <w:numPr>
          <w:ilvl w:val="0"/>
          <w:numId w:val="4"/>
        </w:numPr>
        <w:spacing w:after="120" w:line="360" w:lineRule="auto"/>
        <w:jc w:val="both"/>
      </w:pPr>
      <w:r>
        <w:t>make evidence-based recommendations for management to enhance WLB policies and support workforce retention.</w:t>
      </w:r>
    </w:p>
    <w:p w14:paraId="04F90A54" w14:textId="77777777" w:rsidR="00571993" w:rsidRDefault="00237399" w:rsidP="00143FD2">
      <w:r>
        <w:t>These objectives are based on perception, meaning and lived experience. Such questions are related to meaning rather than measuring given variables and thus it is best to use a qualitative design (Saunders, Lewis and Thornhill, 2023). This is congruent with known guidance for aligning the design of the research process to the research question (Creswell and Creswell, 2018).</w:t>
      </w:r>
    </w:p>
    <w:p w14:paraId="610DFB93" w14:textId="77777777" w:rsidR="00571993" w:rsidRDefault="00237399" w:rsidP="0098366A">
      <w:pPr>
        <w:pStyle w:val="Heading2"/>
      </w:pPr>
      <w:bookmarkStart w:id="28" w:name="_Toc241018046"/>
      <w:r>
        <w:lastRenderedPageBreak/>
        <w:t>3.3 Research Rationale</w:t>
      </w:r>
      <w:bookmarkEnd w:id="28"/>
    </w:p>
    <w:p w14:paraId="7079260B" w14:textId="77777777" w:rsidR="00571993" w:rsidRDefault="00237399" w:rsidP="00143FD2">
      <w:r>
        <w:t>The methodological approach is based on the research problem presented in the previous chapters. The literature reviewed revealed that, rather than whether there are WLB policies, it is the way in which employees experience, understand and react to them in their work lives that is the central issue. This type of question cannot be answered using numerical measurement, but rather through rich accounts of personal experience (Creswell and Creswell, 2018). Qualitative design is suitable as it permits the researcher to examine meaning, feelings and context at a deep level, which is not possible with closed questions used in a survey (Saunders, Lewis and Thornhill, 2023).</w:t>
      </w:r>
    </w:p>
    <w:p w14:paraId="72B5668F" w14:textId="77777777" w:rsidR="00571993" w:rsidRDefault="00237399" w:rsidP="00143FD2">
      <w:r>
        <w:t>The rationale also responds to a gap in the existing evidence. Research on WLB and retention has been conducted on a large scale and reports correlations but does not fully explain the psychological reasons for these correlations. A qualitative study can overcome this limitation by allowing employees to tell their own story as to how a policy is perceived as supportive or restrictive (Braun and Clarke, 2022). This is also appropriate for a master’s-level project as it creates depth of understanding from a manageable number of participants and not a large number required for reliable statistical testing (Braun and Clarke, 2021b).</w:t>
      </w:r>
    </w:p>
    <w:p w14:paraId="342C71D0" w14:textId="77777777" w:rsidR="00571993" w:rsidRDefault="00237399" w:rsidP="00143FD2">
      <w:r>
        <w:t>Last but not least, a qualitative approach is suitable for the exploratory research question. The study is not a test of a specific hypothesis, but it aims to develop understanding of a complex and personal topic. For these reasons, a mono-method qualitative research approach was chosen over quantitative or mixed-methods research, so that the subjective experiences of the research participants would not be removed from the study; rather, they would remain the focus of this study (Saunders, Lewis and Thornhill, 2023).</w:t>
      </w:r>
    </w:p>
    <w:p w14:paraId="281707C3" w14:textId="77777777" w:rsidR="00571993" w:rsidRDefault="00237399" w:rsidP="0098366A">
      <w:pPr>
        <w:pStyle w:val="Heading2"/>
      </w:pPr>
      <w:bookmarkStart w:id="29" w:name="_Toc241018047"/>
      <w:r>
        <w:t>3.4 Research Design</w:t>
      </w:r>
      <w:bookmarkEnd w:id="29"/>
    </w:p>
    <w:p w14:paraId="16919D75" w14:textId="0D3618C9" w:rsidR="00571993" w:rsidRDefault="00237399" w:rsidP="00143FD2">
      <w:r>
        <w:t>The overall design of this study is exploratory and qualitative. The research onion, developed by Saunders, Lewis and Thornhill (2023), is used to explain and justify the design in a systematic manner as shown in Figure 1. The research onion is a series of six interdependent layers that gives insight into the research design chosen: research philosophy, theory-building approach, methodological choice, research strategy, time frame, and techniques and procedures. When working through the layers from the outside inwards, it is important to make sure that each of the practical decisions made is consistent with the underlying assumptions of the study (Saunders, Lewis and Thornhill, 2023).</w:t>
      </w:r>
    </w:p>
    <w:p w14:paraId="05F19AA1" w14:textId="77777777" w:rsidR="00143FD2" w:rsidRDefault="00237399" w:rsidP="00143FD2">
      <w:pPr>
        <w:keepNext/>
      </w:pPr>
      <w:r>
        <w:rPr>
          <w:noProof/>
        </w:rPr>
        <w:lastRenderedPageBreak/>
        <w:drawing>
          <wp:inline distT="0" distB="0" distL="0" distR="0" wp14:anchorId="38F00820" wp14:editId="397D8444">
            <wp:extent cx="5139559" cy="5253771"/>
            <wp:effectExtent l="0" t="0" r="4445"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9"/>
                    <a:srcRect/>
                    <a:stretch>
                      <a:fillRect/>
                    </a:stretch>
                  </pic:blipFill>
                  <pic:spPr bwMode="auto">
                    <a:xfrm>
                      <a:off x="0" y="0"/>
                      <a:ext cx="5144261" cy="5258578"/>
                    </a:xfrm>
                    <a:prstGeom prst="rect">
                      <a:avLst/>
                    </a:prstGeom>
                  </pic:spPr>
                </pic:pic>
              </a:graphicData>
            </a:graphic>
          </wp:inline>
        </w:drawing>
      </w:r>
    </w:p>
    <w:p w14:paraId="6B524E45" w14:textId="423F6040" w:rsidR="00571993" w:rsidRPr="00143FD2" w:rsidRDefault="00143FD2" w:rsidP="00143FD2">
      <w:pPr>
        <w:pStyle w:val="Caption"/>
      </w:pPr>
      <w:bookmarkStart w:id="30" w:name="_Toc241018203"/>
      <w:r>
        <w:t xml:space="preserve">Figure </w:t>
      </w:r>
      <w:r>
        <w:fldChar w:fldCharType="begin"/>
      </w:r>
      <w:r>
        <w:instrText xml:space="preserve"> SEQ Figure \* ARABIC </w:instrText>
      </w:r>
      <w:r>
        <w:fldChar w:fldCharType="separate"/>
      </w:r>
      <w:r>
        <w:rPr>
          <w:noProof/>
        </w:rPr>
        <w:t>1</w:t>
      </w:r>
      <w:r>
        <w:fldChar w:fldCharType="end"/>
      </w:r>
      <w:r>
        <w:t xml:space="preserve"> The Research Onion (adapted from Saunders, Lewis and Thornhill, 2023)</w:t>
      </w:r>
      <w:bookmarkEnd w:id="30"/>
    </w:p>
    <w:p w14:paraId="1EBA4F8B" w14:textId="77777777" w:rsidR="00571993" w:rsidRDefault="00237399" w:rsidP="00143FD2">
      <w:r>
        <w:t>In this study, the layers were separated in the following manner. Interpretivism is the philosophy that will be used since it deals with subjective meaning. Theory development is inductive as themes are drawn from the data, not tested against a pre-set model. The methodological approach is mono-method qualitative with only one qualitative technique. The strategy is a series of semi-structured interviews, which suit an exploration of personal experience. The data are collected cross-sectionally as they are collected at one point, or in a short time, rather than over time. The purposive sampling, semi-structured interviewing, and reflexive thematic analysis techniques and procedures were used. These layers are explained in further detail in the following sections.</w:t>
      </w:r>
    </w:p>
    <w:p w14:paraId="6C8A4562" w14:textId="77777777" w:rsidR="00571993" w:rsidRDefault="00237399" w:rsidP="00143FD2">
      <w:r>
        <w:t xml:space="preserve">Designing the study as a cohesive whole in this way reinforces the relationship between the aim of the study and the research question, and helps the reader to understand why the selected </w:t>
      </w:r>
      <w:r>
        <w:lastRenderedPageBreak/>
        <w:t>methods are appropriate for the aim (Saunders, Lewis and Thornhill, 2023). It also helps to highlight the weaknesses in the design, as one weakness may be related to another, and the effect of the weakness will be apparent at that level.</w:t>
      </w:r>
    </w:p>
    <w:p w14:paraId="0F94C228" w14:textId="77777777" w:rsidR="00571993" w:rsidRDefault="00237399" w:rsidP="0098366A">
      <w:pPr>
        <w:pStyle w:val="Heading2"/>
      </w:pPr>
      <w:bookmarkStart w:id="31" w:name="_Toc241018048"/>
      <w:r>
        <w:t>3.5 Research Philosophy and Approach</w:t>
      </w:r>
      <w:bookmarkEnd w:id="31"/>
    </w:p>
    <w:p w14:paraId="58E92E41" w14:textId="77777777" w:rsidR="00571993" w:rsidRDefault="00237399" w:rsidP="00143FD2">
      <w:r>
        <w:t>Research philosophy refers to the beliefs a researcher has regarding the nature of knowledge and the world that underlie the researcher’s later decisions (Saunders, Lewis and Thornhill, 2023). There are three broad philosophical positions that are highlighted and contrasted in business research: positivism, interpretivism and pragmatism (Saunders, Lewis and Thornhill, 2023).</w:t>
      </w:r>
    </w:p>
    <w:p w14:paraId="04A05686" w14:textId="77777777" w:rsidR="00571993" w:rsidRDefault="00237399" w:rsidP="00143FD2">
      <w:r>
        <w:t>In positivism, the researcher is expected to have an attitude of objectivity and measurability and to be detached in order to test the hypothesis and generate generalisable laws (Crotty, 1998). This is a good place for studies to measure the cause and effect, but here this position is not appropriate because it is about personal meaning, not objective measurement. Pragmatism, on the other hand, is concerned with what is effective and working on a practical level and tends to involve both qualitative and quantitative approaches to tackle a practical problem (Saunders, Lewis and Thornhill, 2023). While appealing, a mixed approach would disperse the scarce time and money of a master’s project and would distract attention from the depth called for in this study.</w:t>
      </w:r>
    </w:p>
    <w:p w14:paraId="1623FD2B" w14:textId="77777777" w:rsidR="00571993" w:rsidRDefault="00237399" w:rsidP="00143FD2">
      <w:r>
        <w:t>It was therefore decided to use interpretivism. Interpretivism is based on the premise that reality is socially constructed and that people experience the same situation differently (Crotty, 1998). Meanings that people give to their experiences are what is created, and the researcher’s job is to understand the meanings, not to measure them (Saunders, Lewis and Thornhill, 2023). This position aligns with the goal of the study: to identify how employees experience WLB policies on an individual level and the impact of WLB policies on employee well-being, engagement and intention to leave.</w:t>
      </w:r>
    </w:p>
    <w:p w14:paraId="7DB40DB8" w14:textId="77777777" w:rsidR="00571993" w:rsidRDefault="00237399" w:rsidP="00143FD2">
      <w:r>
        <w:t xml:space="preserve">An inductive approach to theory development is also used in the study. Whereas a deductive approach is more of a theory-driven research method, an inductive approach is data-driven, whereby the researcher develops explanations and themes from the data (Saunders, Lewis and Thornhill, 2023). A study like this is best suited to an inductive logic as it is trying to open up to experience and let the new insights arise from what the participants share. At the same time, the theoretical ideas discussed in the literature review, such as spillover, job demands and </w:t>
      </w:r>
      <w:r>
        <w:lastRenderedPageBreak/>
        <w:t>resources, and engagement, provide a sensitising background that helps to focus the analysis without forcing the data into a fixed framework (Braun and Clarke, 2022). An interpretivist philosophy and an inductive approach combine to offer a coherent basis for the qualitative methods discussed below.</w:t>
      </w:r>
    </w:p>
    <w:p w14:paraId="7F7F4766" w14:textId="77777777" w:rsidR="00571993" w:rsidRDefault="00237399" w:rsidP="0098366A">
      <w:pPr>
        <w:pStyle w:val="Heading2"/>
      </w:pPr>
      <w:bookmarkStart w:id="32" w:name="_Toc241018049"/>
      <w:r>
        <w:t>3.6 Data Collection</w:t>
      </w:r>
      <w:bookmarkEnd w:id="32"/>
    </w:p>
    <w:p w14:paraId="50E30220" w14:textId="77777777" w:rsidR="00571993" w:rsidRDefault="00237399" w:rsidP="00143FD2">
      <w:r>
        <w:t>Semi-structured interviews were used to collect data. The interpretivist approach is appropriate to use in an interview because it enables the respondents to interpret their experiences in their own words and in detail, and the researcher to pursue interesting aspects of the experience (Saunders, Lewis and Thornhill, 2023). The preferred format was semi-structured over a structured or a fully unstructured format. A structured interview, which has a set of questions to be answered and little flexibility in terms of scope, would be more like a spoken questionnaire and would not allow for much depth, whilst a fully unstructured interview would allow for depth but could lead away from the research objectives. The semi-structured approach is used to balance these, having a set of open questions to use and the freedom to probe (Saunders, Lewis and Thornhill, 2023).</w:t>
      </w:r>
    </w:p>
    <w:p w14:paraId="2FD55906" w14:textId="77777777" w:rsidR="00571993" w:rsidRDefault="00237399" w:rsidP="00143FD2">
      <w:r>
        <w:t>The interview guide was created directly from the research objectives and the themes that emerged from the literature review. Questions were clustered around issues of awareness of WLB policies, actual use of WLB policies on a day-to-day basis, impact on well-being and engagement, and attitudes towards remaining with their employer. The questions were open-ended, meaning that they were not leading, in order not to guide the respondent to a specific response (Saunders, Lewis and Thornhill, 2023). Follow-up prompts were created to encourage participants to go further in their answers, if appropriate.</w:t>
      </w:r>
    </w:p>
    <w:p w14:paraId="26C4F507" w14:textId="1FDE14B2" w:rsidR="00571993" w:rsidRDefault="00237399" w:rsidP="00143FD2">
      <w:r>
        <w:t>The interview guide was pretested with a pilot participant to ensure that the questions were understood as intended, were clearly worded and were in an appropriate order before the main data collection. Piloting is recommended as it could uncover issues with the wording and timing of the main study before it starts (Saunders, Lewis and Thornhill, 2023). Some minor modifications to the wording were made after the pilot. With participants’ consent, interviews were audio-recorded and then transcribed in full, so that an accurate record was available for analysis. The researcher was also able to focus on listening and asking questions during the interview, instead of taking notes.</w:t>
      </w:r>
    </w:p>
    <w:p w14:paraId="25CCA591" w14:textId="77777777" w:rsidR="00143FD2" w:rsidRDefault="00143FD2" w:rsidP="00143FD2"/>
    <w:p w14:paraId="6CF8C9B5" w14:textId="77777777" w:rsidR="00571993" w:rsidRDefault="00237399" w:rsidP="0098366A">
      <w:pPr>
        <w:pStyle w:val="Heading2"/>
      </w:pPr>
      <w:bookmarkStart w:id="33" w:name="_Toc241018050"/>
      <w:r>
        <w:lastRenderedPageBreak/>
        <w:t>3.7 Population and Sample</w:t>
      </w:r>
      <w:bookmarkEnd w:id="33"/>
    </w:p>
    <w:p w14:paraId="1F5F1F7D" w14:textId="77777777" w:rsidR="00571993" w:rsidRDefault="00237399" w:rsidP="00143FD2">
      <w:r>
        <w:t>The study involves professionals from various sectors of organisations in the United Kingdom as its target population. This broad population is suitable for this research question because it asks about experiences across professional sectors, and including participants from different sectors will enable the study to explore commonalities and differences in the sectors.</w:t>
      </w:r>
    </w:p>
    <w:p w14:paraId="1F47C645" w14:textId="77777777" w:rsidR="00571993" w:rsidRDefault="00237399" w:rsidP="00143FD2">
      <w:r>
        <w:t>A purposive (non-probability) sampling strategy was used. Purposive sampling is based on the logic of choosing information-rich cases instead of a statistically representative sample (Campbell et al., 2020). Purposive sampling involves careful selection of participants because they have the pertinent information or experience needed to address the research question, not random selection (Saunders, Lewis and Thornhill, 2023). This is typically the way to go in qualitative interview studies in which the objective is to capture rich and deep information from information-rich participants rather than to find a statistically representative sample. For the purposes of the study, only those who were working professionals in their organisations with some kind of WLB policy could participate and speak from experience. The participants were identified and approached via professional groups on LinkedIn and institutional networks.</w:t>
      </w:r>
    </w:p>
    <w:p w14:paraId="1F8DFFF6" w14:textId="77777777" w:rsidR="00571993" w:rsidRDefault="00237399" w:rsidP="00143FD2">
      <w:r>
        <w:t>Ten subjects were selected for the study. This is in line with the recommendations for qualitative interview studies at the master’s level, where a smaller sample enables detailed and in-depth analysis, as required by the design. It does not regard sample size as a point of “data saturation” but more as an informed judgement made when the richness of the data is taken into account, along with the scope of the question (Braun and Clarke, 2021b). After considering the time available, ten rich interviews were thought to be enough to develop meaningful themes. The main issues in a relatively uniform interview set have been shown to be apparent in the first few interviews (Guest, Bunce and Johnson, 2006). Hennink and Kaiser (2022) conclude similarly to the above systematic review in a more recent review of the literature regarding sample size.</w:t>
      </w:r>
    </w:p>
    <w:p w14:paraId="25A1515E" w14:textId="36F8684B" w:rsidR="00571993" w:rsidRDefault="00237399" w:rsidP="00143FD2">
      <w:r>
        <w:t>Using convenience sampling as the primary basis for selection was deliberately avoided, as this can limit the relevance and credibility of the data (Saunders, Lewis and Thornhill, 2023). If personal or professional networks were used to make initial contact, participants had to still meet the above selection criteria.</w:t>
      </w:r>
    </w:p>
    <w:p w14:paraId="72C5DD0F" w14:textId="386C316D" w:rsidR="00143FD2" w:rsidRDefault="00143FD2" w:rsidP="00143FD2"/>
    <w:p w14:paraId="29B0FC97" w14:textId="77777777" w:rsidR="00143FD2" w:rsidRDefault="00143FD2" w:rsidP="00143FD2"/>
    <w:p w14:paraId="38BB4430" w14:textId="77777777" w:rsidR="00571993" w:rsidRDefault="00237399" w:rsidP="0098366A">
      <w:pPr>
        <w:pStyle w:val="Heading2"/>
      </w:pPr>
      <w:bookmarkStart w:id="34" w:name="_Toc241018051"/>
      <w:r>
        <w:lastRenderedPageBreak/>
        <w:t>3.8 Data Analysis</w:t>
      </w:r>
      <w:bookmarkEnd w:id="34"/>
    </w:p>
    <w:p w14:paraId="0333B265" w14:textId="77777777" w:rsidR="00571993" w:rsidRDefault="00237399" w:rsidP="00143FD2">
      <w:r>
        <w:t>The reflexive thematic analysis used to analyse the interview data consists of the six phases outlined by Braun and Clarke (2006). A similar approach has been expanded into a practical guide for the reflexive version in their later work (Braun and Clarke, 2022). A recent methodological article demonstrates that a systematic thematic process can be applied to the construction of a conceptual model similar to the conceptual model presented in this study (Naeem et al., 2023). Thematic analysis is a flexible method for discovering, analysing and reporting meaningful patterns from a collection of qualitative data, which is appropriate for interpretive research in which patterns of meaning are being sought as a way of understanding experience (Braun and Clarke, 2022). The reflexive version emphasises the researcher’s active role in the creation of themes and that this role should be acknowledged rather than concealed (Braun and Clarke, 2021a).</w:t>
      </w:r>
    </w:p>
    <w:p w14:paraId="714F6EB5" w14:textId="77777777" w:rsidR="00571993" w:rsidRDefault="00237399" w:rsidP="00143FD2">
      <w:r>
        <w:t>The six phases were used as described: The researcher first got to know the data by transcribing the interviews and reading the transcriptions several times. Second, initial codes were developed to identify aspects of the data pertinent to the research question. Third, codes that were related to each other were clustered together into candidate themes. Fourth, these themes were checked with the coded extracts and the entire data set to ensure that they were coherent and well supported. Fifth, every theme was well elaborated and given a name. Sixth, themes were written up and quotes taken from the interviews were used as evidence and were correlated with the literature (Braun and Clarke, 2006). A worked example published in the book shows the same step-by-step coding technique in action (Byrne, 2022). This is a systematic and transparent process while still being flexible, which helps to ensure transparency and systematicity of the analysis (Kiger and Varpio, 2020).</w:t>
      </w:r>
    </w:p>
    <w:p w14:paraId="0F57016E" w14:textId="77777777" w:rsidR="00571993" w:rsidRDefault="00237399" w:rsidP="00143FD2">
      <w:r>
        <w:t>Based on the results of the literature review, five constructs were identified, namely job demands, WLB resources, emotional spillover, psychological engagement and turnover intention, which served as a thematic framework for coding. In line with the inductive and reflexive approach of the analysis, the themes developed from the participants’ accounts remained open to development in the analysis (Braun and Clarke, 2022). NVivo software was used to store transcripts, to code them and to retrieve coded extracts to assist in organising and managing the coding process. NVivo facilitates the systematic management of qualitative data, but it should not be used to replace the interpretive work of the researcher, which remains central to reflexive thematic analysis (Braun and Clarke, 2022).</w:t>
      </w:r>
    </w:p>
    <w:p w14:paraId="17DEA41E" w14:textId="77777777" w:rsidR="00571993" w:rsidRDefault="00237399" w:rsidP="0098366A">
      <w:pPr>
        <w:pStyle w:val="Heading2"/>
      </w:pPr>
      <w:bookmarkStart w:id="35" w:name="_Toc241018052"/>
      <w:r>
        <w:lastRenderedPageBreak/>
        <w:t>3.9 Reliability and Validity</w:t>
      </w:r>
      <w:bookmarkEnd w:id="35"/>
    </w:p>
    <w:p w14:paraId="534ACD7E" w14:textId="77777777" w:rsidR="00571993" w:rsidRDefault="00237399" w:rsidP="00143FD2">
      <w:r>
        <w:t>Reliability and validity were conceptualised primarily in quantitative research and cannot be directly applied to a qualitative study of subjective experience. In qualitative research, the concept of “trustworthiness” is more useful; this is composed of several criteria, including credibility, transferability, dependability, and confirmability (Lincoln and Guba, 1985). These criteria have since been applied specifically to the conduct of thematic analysis (Kiger and Varpio, 2020). The steps taken here were informed by practical guidance on how they can be met in a thematic study (Nowell et al., 2017). Similar recommendations for trustworthiness in qualitative studies supported this (Korstjens and Moser, 2018).</w:t>
      </w:r>
    </w:p>
    <w:p w14:paraId="77BA3642" w14:textId="77777777" w:rsidR="00571993" w:rsidRDefault="00237399" w:rsidP="00143FD2">
      <w:r>
        <w:t>Credibility is the degree to which the results are believable and accurately represent the view of the participants. It was facilitated through the use of open, non-leading questions, audio-recording and transcribing the interviews in full, and by basing each theme on extracts from the interviews that were verbatim (Kiger and Varpio, 2020). Transferability relates to the extent to which the results are generalisable to other contexts. Due to the small and purposive sample size, the study is not statistically generalisable; rather, it is intended to offer a description of the participants and context to enable readers to assess how applicable the results are to their context (Lincoln and Guba, 1985). Dependability is related to the consistency of the process, and this was aided by the use of the clearly defined analytical process of six phases as well as the audit trail of decisions (Byrne, 2022). Confirmability is related to the question of whether the findings are influenced by the data or the researcher’s bias.</w:t>
      </w:r>
    </w:p>
    <w:p w14:paraId="3DC079DD" w14:textId="77777777" w:rsidR="00571993" w:rsidRDefault="00237399" w:rsidP="00143FD2">
      <w:r>
        <w:t>As reflexive thematic analysis requires the researcher to be a necessary part of the process, reflexivity was utilised as another quality practice: the researcher maintained notes on their own assumptions and how they may influence interpretation, ensuring that the analysis remained rooted in participants’ accounts (Braun and Clarke, 2021a). The same authors have outlined this reflexive position in detail in their practical guide (Braun and Clarke, 2022). All of these steps help to build the trustworthiness of the study.</w:t>
      </w:r>
    </w:p>
    <w:p w14:paraId="1C0FDEBE" w14:textId="77777777" w:rsidR="00571993" w:rsidRDefault="00237399" w:rsidP="0098366A">
      <w:pPr>
        <w:pStyle w:val="Heading2"/>
      </w:pPr>
      <w:bookmarkStart w:id="36" w:name="_Toc241018053"/>
      <w:r>
        <w:t>3.10 Limitations of the Research</w:t>
      </w:r>
      <w:bookmarkEnd w:id="36"/>
    </w:p>
    <w:p w14:paraId="27E0CF21" w14:textId="77777777" w:rsidR="00571993" w:rsidRDefault="00237399" w:rsidP="00143FD2">
      <w:r>
        <w:t xml:space="preserve">There are some drawbacks of the selected design which should be recognised. First, the sample is small and purposive and therefore findings cannot be generalised to the wider community of professionals or sectors as a whole, as would be possible with a larger quantitative survey (Saunders, Lewis and Thornhill, 2023). The intention is not to draw statistical conclusions, but </w:t>
      </w:r>
      <w:r>
        <w:lastRenderedPageBreak/>
        <w:t>rather to gain deeper insight into the subject; hence, this is a legitimate aspect of the study and not a weakness.</w:t>
      </w:r>
    </w:p>
    <w:p w14:paraId="7676EFFD" w14:textId="77777777" w:rsidR="00571993" w:rsidRDefault="00237399" w:rsidP="00143FD2">
      <w:r>
        <w:t>Second, using LinkedIn and institutional networks to recruit can create self-selection bias as those who elect to participate might be more likely to have stronger views on WLB than those who do not. This is noted so that the results are interpreted with due caution. Third, the study was cross-sectional, meaning that perceptions were captured at one point in time and therefore cannot reveal how employees’ perceptions change over time with the implementation of policy or with their own changes (Saunders, Lewis and Thornhill, 2023).</w:t>
      </w:r>
    </w:p>
    <w:p w14:paraId="4BE1B64B" w14:textId="77777777" w:rsidR="00571993" w:rsidRDefault="00237399" w:rsidP="00143FD2">
      <w:r>
        <w:t>Fourth, the researcher’s interpretation is the basis for reflexive thematic analysis, which means that themes can be generated in a way that may be biased. This risk was dealt with through reflexivity and a transparent analytical process, though it is not completely eliminated (Braun and Clarke, 2022). Finally, the study was constrained by limitations in time and resources as a single-researcher master’s thesis, which influenced the sample size and scope. The restrictions are common to small-scale, qualitative research, and they do not detract from the benefits of the findings generated.</w:t>
      </w:r>
    </w:p>
    <w:p w14:paraId="2D1B3EFA" w14:textId="77777777" w:rsidR="00571993" w:rsidRDefault="00237399" w:rsidP="0098366A">
      <w:pPr>
        <w:pStyle w:val="Heading2"/>
      </w:pPr>
      <w:bookmarkStart w:id="37" w:name="_Toc241018054"/>
      <w:r>
        <w:t>3.11 Research Ethics</w:t>
      </w:r>
      <w:bookmarkEnd w:id="37"/>
    </w:p>
    <w:p w14:paraId="094BCD99" w14:textId="77777777" w:rsidR="00571993" w:rsidRDefault="00237399" w:rsidP="00143FD2">
      <w:r>
        <w:t>This study was carried out in accordance with the University of Wales Trinity Saint David (UWTSD) Research Ethics and Integrity Code of Practice, and prior to any data collection, formal ethical approval was obtained. A copy of the completed ethics form is provided in the appendix. Ethical practice is crucial in research involving humans, both to protect the participants and to safeguard the integrity of the results of the research (Saunders, Lewis and Thornhill, 2023).</w:t>
      </w:r>
    </w:p>
    <w:p w14:paraId="3C1B12B7" w14:textId="77777777" w:rsidR="00571993" w:rsidRDefault="00237399" w:rsidP="00143FD2">
      <w:r>
        <w:t>Various precautions were taken. Participants received a participant information sheet detailing the research, their involvement and the use of their data as part of this research project, and they were asked to carefully consider this information and make a decision on participation in this study within seven days. Permission was requested in writing before interviewing, and the interviewees were given the option to participate or not. It was explained to participants that they could withdraw from the interview at any time and for up to two weeks afterwards, after which the data would be used in the analysis (Saunders, Lewis and Thornhill, 2023).</w:t>
      </w:r>
    </w:p>
    <w:p w14:paraId="75A9CFCB" w14:textId="77777777" w:rsidR="00571993" w:rsidRDefault="00237399" w:rsidP="00143FD2">
      <w:r>
        <w:t xml:space="preserve">The anonymity and confidentiality of the participants were provided by assigning each participant a unique identifier (R1, R2), as well as by omitting names and other identifying </w:t>
      </w:r>
      <w:r>
        <w:lastRenderedPageBreak/>
        <w:t>information from transcripts and quotations. All data were kept in password-protected university systems, and audio recordings and transcripts were available to the researcher, and only to the supervisor if necessary. Data will be stored until the completion of the project and then removed in accordance with data-protection requirements. The aim of the questions was not to cause distress, and any participant could refuse to answer any question.</w:t>
      </w:r>
    </w:p>
    <w:p w14:paraId="0E958C5F" w14:textId="77777777" w:rsidR="00571993" w:rsidRDefault="00237399" w:rsidP="0098366A">
      <w:pPr>
        <w:pStyle w:val="Heading2"/>
      </w:pPr>
      <w:bookmarkStart w:id="38" w:name="_Toc241018055"/>
      <w:r>
        <w:t>3.12 Chapter Summary</w:t>
      </w:r>
      <w:bookmarkEnd w:id="38"/>
    </w:p>
    <w:p w14:paraId="1A36C219" w14:textId="42C24A31" w:rsidR="00571993" w:rsidRDefault="00237399" w:rsidP="00143FD2">
      <w:r>
        <w:t>In this chapter, the methodology has been explained and justified for the study. Guided by the research onion, the research is interpretivist in philosophy, inductive in approach and mono-method qualitative in design. Semi-structured interviews are conducted with ten purposively selected professionals and analysed using reflexive thematic analysis with NVivo. Quality is dealt with in terms of the four criteria of trustworthiness, and researcher reflexivity is discussed, with the main limitations of the design being clearly identified. The study follows UWTSD ethical guidelines. The results of this process are included and discussed in the next chapter.</w:t>
      </w:r>
    </w:p>
    <w:p w14:paraId="32A524E0" w14:textId="217ACC71" w:rsidR="00143FD2" w:rsidRDefault="00143FD2" w:rsidP="00143FD2"/>
    <w:p w14:paraId="7F01D274" w14:textId="77777777" w:rsidR="00143FD2" w:rsidRDefault="00143FD2" w:rsidP="00143FD2"/>
    <w:p w14:paraId="41C10BA7" w14:textId="77777777" w:rsidR="00571993" w:rsidRDefault="00237399" w:rsidP="00143FD2">
      <w:r>
        <w:br w:type="page"/>
      </w:r>
    </w:p>
    <w:p w14:paraId="25E8E5F4" w14:textId="77777777" w:rsidR="00571993" w:rsidRDefault="00237399" w:rsidP="0098366A">
      <w:pPr>
        <w:pStyle w:val="Heading1"/>
        <w:jc w:val="both"/>
      </w:pPr>
      <w:bookmarkStart w:id="39" w:name="_Toc241018056"/>
      <w:r>
        <w:lastRenderedPageBreak/>
        <w:t>Chapter Four: Findings and Discussion</w:t>
      </w:r>
      <w:bookmarkEnd w:id="39"/>
    </w:p>
    <w:p w14:paraId="72CA84C6" w14:textId="77777777" w:rsidR="00571993" w:rsidRDefault="00237399" w:rsidP="0098366A">
      <w:pPr>
        <w:pStyle w:val="Heading2"/>
      </w:pPr>
      <w:bookmarkStart w:id="40" w:name="_Toc241018057"/>
      <w:r>
        <w:t>4.1 Introduction</w:t>
      </w:r>
      <w:bookmarkEnd w:id="40"/>
    </w:p>
    <w:p w14:paraId="64BAF647" w14:textId="63F6BC99" w:rsidR="0098366A" w:rsidRDefault="00FA6414" w:rsidP="00143FD2">
      <w:r>
        <w:t>The results of this study are presented and discussed in this chapter. Following the advice for qualitative work, the findings are then linked with the discussion, with each pattern in the data described, analysed and then discussed with the literature in a continuous account (Braun and Clarke, 2022). The chapter describes the findings from 10 semi-structured interviews with individuals from four industries - healthcare, finance, technology, and creative industry - and presents the reflexive thematic analysis conducted in line with Chapter Three. The aim is to help address the focus research question: How effective are work-life balance (WLB) policies at influencing employee well-being, engagement and retention across professional sectors?</w:t>
      </w:r>
    </w:p>
    <w:p w14:paraId="19AFCFFD" w14:textId="77777777" w:rsidR="0098366A" w:rsidRDefault="0098366A" w:rsidP="00143FD2"/>
    <w:p w14:paraId="6E201AA6" w14:textId="2096FC6C" w:rsidR="00571993" w:rsidRDefault="00FA6414" w:rsidP="00143FD2">
      <w:r>
        <w:t>The data were analysed to produce five themes. They are: (1) policy on paper versus policy in practice; (2) the cultural cost of using policies; (3) spillover, exhaustion and protected recovery; (4) from "all in" to "just surviving"; and (5) wanting to stay versus having to stay. Selected extracts of the interviews are used to illustrate each theme and are indented and numbered (R1 to R10). Minor verbal fillers have been deleted from the extracts to facilitate reading without changing the content. The five constructs that finish the literature review are adopted as the interpretive lens in the course of the study.</w:t>
      </w:r>
    </w:p>
    <w:p w14:paraId="60AB4F6F" w14:textId="77777777" w:rsidR="00571993" w:rsidRDefault="00237399" w:rsidP="0098366A">
      <w:pPr>
        <w:pStyle w:val="Heading2"/>
      </w:pPr>
      <w:bookmarkStart w:id="41" w:name="_Toc241018058"/>
      <w:r>
        <w:t>4.2 Overview of the participants</w:t>
      </w:r>
      <w:bookmarkEnd w:id="41"/>
    </w:p>
    <w:p w14:paraId="518A63CF" w14:textId="530D7733" w:rsidR="009D782E" w:rsidRDefault="00FA6414" w:rsidP="00143FD2">
      <w:pPr>
        <w:rPr>
          <w:b/>
          <w:bCs/>
        </w:rPr>
      </w:pPr>
      <w:r>
        <w:t>Ten professionals took part in the study. The sample was intentionally selected from a variety of sectors in order to study the common patterns as well as the differences between sectors as stated in the first research objective. The three NHS registered nurses, the two risk analysts in a large bank, the three software developers in a medium-sized software company, and the two marketing managers in a small creative agency were all interviewed. The role, tenure and typical working pattern of each one of these is summarised in Table 1. The detail is given in order for readers to evaluate the extent to which they might be generalisable to other settings (Lincoln and Guba, 1985, as discussed in Chapter Three).</w:t>
      </w:r>
    </w:p>
    <w:p w14:paraId="0DCB0D4C" w14:textId="77777777" w:rsidR="009D782E" w:rsidRDefault="009D782E" w:rsidP="00143FD2"/>
    <w:p w14:paraId="0CB72BF0" w14:textId="77777777" w:rsidR="00FA6414" w:rsidRDefault="00FA6414" w:rsidP="00143FD2"/>
    <w:p w14:paraId="27FF192C" w14:textId="0E6989AE" w:rsidR="00571993" w:rsidRDefault="00571993" w:rsidP="00143FD2"/>
    <w:p w14:paraId="2CBDA570" w14:textId="700A59AC" w:rsidR="00143FD2" w:rsidRDefault="00143FD2" w:rsidP="00143FD2">
      <w:pPr>
        <w:pStyle w:val="Caption"/>
        <w:keepNext/>
      </w:pPr>
      <w:bookmarkStart w:id="42" w:name="_Toc241018193"/>
      <w:r>
        <w:t xml:space="preserve">Table </w:t>
      </w:r>
      <w:r>
        <w:fldChar w:fldCharType="begin"/>
      </w:r>
      <w:r>
        <w:instrText xml:space="preserve"> SEQ Table \* ARABIC </w:instrText>
      </w:r>
      <w:r>
        <w:fldChar w:fldCharType="separate"/>
      </w:r>
      <w:r>
        <w:rPr>
          <w:noProof/>
        </w:rPr>
        <w:t>1</w:t>
      </w:r>
      <w:r>
        <w:fldChar w:fldCharType="end"/>
      </w:r>
      <w:r>
        <w:t xml:space="preserve"> Profile of the interview participants</w:t>
      </w:r>
      <w:bookmarkEnd w:id="42"/>
    </w:p>
    <w:tbl>
      <w:tblPr>
        <w:tblW w:w="90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720"/>
        <w:gridCol w:w="1500"/>
        <w:gridCol w:w="2620"/>
        <w:gridCol w:w="1100"/>
        <w:gridCol w:w="3100"/>
      </w:tblGrid>
      <w:tr w:rsidR="00571993" w14:paraId="030EF29A" w14:textId="77777777">
        <w:trPr>
          <w:tblHeader/>
        </w:trPr>
        <w:tc>
          <w:tcPr>
            <w:tcW w:w="720" w:type="dxa"/>
            <w:shd w:val="clear" w:color="auto" w:fill="D9D9D9"/>
            <w:tcMar>
              <w:top w:w="40" w:type="dxa"/>
              <w:left w:w="80" w:type="dxa"/>
              <w:bottom w:w="40" w:type="dxa"/>
              <w:right w:w="80" w:type="dxa"/>
            </w:tcMar>
          </w:tcPr>
          <w:p w14:paraId="0075639C" w14:textId="77777777" w:rsidR="00571993" w:rsidRDefault="00237399" w:rsidP="00143FD2">
            <w:r>
              <w:t>ID</w:t>
            </w:r>
          </w:p>
        </w:tc>
        <w:tc>
          <w:tcPr>
            <w:tcW w:w="1500" w:type="dxa"/>
            <w:shd w:val="clear" w:color="auto" w:fill="D9D9D9"/>
            <w:tcMar>
              <w:top w:w="40" w:type="dxa"/>
              <w:left w:w="80" w:type="dxa"/>
              <w:bottom w:w="40" w:type="dxa"/>
              <w:right w:w="80" w:type="dxa"/>
            </w:tcMar>
          </w:tcPr>
          <w:p w14:paraId="327B1B1C" w14:textId="77777777" w:rsidR="00571993" w:rsidRDefault="00237399" w:rsidP="00143FD2">
            <w:r>
              <w:t>Sector</w:t>
            </w:r>
          </w:p>
        </w:tc>
        <w:tc>
          <w:tcPr>
            <w:tcW w:w="2620" w:type="dxa"/>
            <w:shd w:val="clear" w:color="auto" w:fill="D9D9D9"/>
            <w:tcMar>
              <w:top w:w="40" w:type="dxa"/>
              <w:left w:w="80" w:type="dxa"/>
              <w:bottom w:w="40" w:type="dxa"/>
              <w:right w:w="80" w:type="dxa"/>
            </w:tcMar>
          </w:tcPr>
          <w:p w14:paraId="37CBC6EF" w14:textId="77777777" w:rsidR="00571993" w:rsidRDefault="00237399" w:rsidP="00143FD2">
            <w:r>
              <w:t>Role</w:t>
            </w:r>
          </w:p>
        </w:tc>
        <w:tc>
          <w:tcPr>
            <w:tcW w:w="1100" w:type="dxa"/>
            <w:shd w:val="clear" w:color="auto" w:fill="D9D9D9"/>
            <w:tcMar>
              <w:top w:w="40" w:type="dxa"/>
              <w:left w:w="80" w:type="dxa"/>
              <w:bottom w:w="40" w:type="dxa"/>
              <w:right w:w="80" w:type="dxa"/>
            </w:tcMar>
          </w:tcPr>
          <w:p w14:paraId="1F9B81ED" w14:textId="77777777" w:rsidR="00571993" w:rsidRDefault="00237399" w:rsidP="00143FD2">
            <w:r>
              <w:t>Tenure</w:t>
            </w:r>
          </w:p>
        </w:tc>
        <w:tc>
          <w:tcPr>
            <w:tcW w:w="3100" w:type="dxa"/>
            <w:shd w:val="clear" w:color="auto" w:fill="D9D9D9"/>
            <w:tcMar>
              <w:top w:w="40" w:type="dxa"/>
              <w:left w:w="80" w:type="dxa"/>
              <w:bottom w:w="40" w:type="dxa"/>
              <w:right w:w="80" w:type="dxa"/>
            </w:tcMar>
          </w:tcPr>
          <w:p w14:paraId="2BD41AA5" w14:textId="77777777" w:rsidR="00571993" w:rsidRDefault="00237399" w:rsidP="00143FD2">
            <w:r>
              <w:t>Typical working week</w:t>
            </w:r>
          </w:p>
        </w:tc>
      </w:tr>
      <w:tr w:rsidR="00571993" w14:paraId="6DAEDF39" w14:textId="77777777">
        <w:tc>
          <w:tcPr>
            <w:tcW w:w="720" w:type="dxa"/>
            <w:tcMar>
              <w:top w:w="40" w:type="dxa"/>
              <w:left w:w="80" w:type="dxa"/>
              <w:bottom w:w="40" w:type="dxa"/>
              <w:right w:w="80" w:type="dxa"/>
            </w:tcMar>
          </w:tcPr>
          <w:p w14:paraId="6F7DBC6F" w14:textId="77777777" w:rsidR="00571993" w:rsidRDefault="00237399" w:rsidP="00143FD2">
            <w:r>
              <w:t>R1</w:t>
            </w:r>
          </w:p>
        </w:tc>
        <w:tc>
          <w:tcPr>
            <w:tcW w:w="1500" w:type="dxa"/>
            <w:tcMar>
              <w:top w:w="40" w:type="dxa"/>
              <w:left w:w="80" w:type="dxa"/>
              <w:bottom w:w="40" w:type="dxa"/>
              <w:right w:w="80" w:type="dxa"/>
            </w:tcMar>
          </w:tcPr>
          <w:p w14:paraId="45B2DAE6" w14:textId="77777777" w:rsidR="00571993" w:rsidRDefault="00237399" w:rsidP="00143FD2">
            <w:r>
              <w:t>Healthcare (NHS)</w:t>
            </w:r>
          </w:p>
        </w:tc>
        <w:tc>
          <w:tcPr>
            <w:tcW w:w="2620" w:type="dxa"/>
            <w:tcMar>
              <w:top w:w="40" w:type="dxa"/>
              <w:left w:w="80" w:type="dxa"/>
              <w:bottom w:w="40" w:type="dxa"/>
              <w:right w:w="80" w:type="dxa"/>
            </w:tcMar>
          </w:tcPr>
          <w:p w14:paraId="79847B99" w14:textId="77777777" w:rsidR="00571993" w:rsidRDefault="00237399" w:rsidP="00143FD2">
            <w:r>
              <w:t>Registered nurse, acute medical ward</w:t>
            </w:r>
          </w:p>
        </w:tc>
        <w:tc>
          <w:tcPr>
            <w:tcW w:w="1100" w:type="dxa"/>
            <w:tcMar>
              <w:top w:w="40" w:type="dxa"/>
              <w:left w:w="80" w:type="dxa"/>
              <w:bottom w:w="40" w:type="dxa"/>
              <w:right w:w="80" w:type="dxa"/>
            </w:tcMar>
          </w:tcPr>
          <w:p w14:paraId="6A8698D0" w14:textId="77777777" w:rsidR="00571993" w:rsidRDefault="00237399" w:rsidP="00143FD2">
            <w:r>
              <w:t>9 years</w:t>
            </w:r>
          </w:p>
        </w:tc>
        <w:tc>
          <w:tcPr>
            <w:tcW w:w="3100" w:type="dxa"/>
            <w:tcMar>
              <w:top w:w="40" w:type="dxa"/>
              <w:left w:w="80" w:type="dxa"/>
              <w:bottom w:w="40" w:type="dxa"/>
              <w:right w:w="80" w:type="dxa"/>
            </w:tcMar>
          </w:tcPr>
          <w:p w14:paraId="48A143B2" w14:textId="314E3AD8" w:rsidR="00571993" w:rsidRDefault="00237399" w:rsidP="00143FD2">
            <w:r>
              <w:t>3-4 long shifts (~12.5 hrs) plus regular overtime/bank shifts</w:t>
            </w:r>
          </w:p>
        </w:tc>
      </w:tr>
      <w:tr w:rsidR="00571993" w14:paraId="6B62A044" w14:textId="77777777">
        <w:tc>
          <w:tcPr>
            <w:tcW w:w="720" w:type="dxa"/>
            <w:tcMar>
              <w:top w:w="40" w:type="dxa"/>
              <w:left w:w="80" w:type="dxa"/>
              <w:bottom w:w="40" w:type="dxa"/>
              <w:right w:w="80" w:type="dxa"/>
            </w:tcMar>
          </w:tcPr>
          <w:p w14:paraId="68B68C8F" w14:textId="77777777" w:rsidR="00571993" w:rsidRDefault="00237399" w:rsidP="00143FD2">
            <w:r>
              <w:t>R2</w:t>
            </w:r>
          </w:p>
        </w:tc>
        <w:tc>
          <w:tcPr>
            <w:tcW w:w="1500" w:type="dxa"/>
            <w:tcMar>
              <w:top w:w="40" w:type="dxa"/>
              <w:left w:w="80" w:type="dxa"/>
              <w:bottom w:w="40" w:type="dxa"/>
              <w:right w:w="80" w:type="dxa"/>
            </w:tcMar>
          </w:tcPr>
          <w:p w14:paraId="3E3B37B8" w14:textId="77777777" w:rsidR="00571993" w:rsidRDefault="00237399" w:rsidP="00143FD2">
            <w:r>
              <w:t>Healthcare (NHS)</w:t>
            </w:r>
          </w:p>
        </w:tc>
        <w:tc>
          <w:tcPr>
            <w:tcW w:w="2620" w:type="dxa"/>
            <w:tcMar>
              <w:top w:w="40" w:type="dxa"/>
              <w:left w:w="80" w:type="dxa"/>
              <w:bottom w:w="40" w:type="dxa"/>
              <w:right w:w="80" w:type="dxa"/>
            </w:tcMar>
          </w:tcPr>
          <w:p w14:paraId="00D56BA8" w14:textId="77777777" w:rsidR="00571993" w:rsidRDefault="00237399" w:rsidP="00143FD2">
            <w:r>
              <w:t>Registered nurse, acute medical ward</w:t>
            </w:r>
          </w:p>
        </w:tc>
        <w:tc>
          <w:tcPr>
            <w:tcW w:w="1100" w:type="dxa"/>
            <w:tcMar>
              <w:top w:w="40" w:type="dxa"/>
              <w:left w:w="80" w:type="dxa"/>
              <w:bottom w:w="40" w:type="dxa"/>
              <w:right w:w="80" w:type="dxa"/>
            </w:tcMar>
          </w:tcPr>
          <w:p w14:paraId="168FCF65" w14:textId="77777777" w:rsidR="00571993" w:rsidRDefault="00237399" w:rsidP="00143FD2">
            <w:r>
              <w:t>9 years</w:t>
            </w:r>
          </w:p>
        </w:tc>
        <w:tc>
          <w:tcPr>
            <w:tcW w:w="3100" w:type="dxa"/>
            <w:tcMar>
              <w:top w:w="40" w:type="dxa"/>
              <w:left w:w="80" w:type="dxa"/>
              <w:bottom w:w="40" w:type="dxa"/>
              <w:right w:w="80" w:type="dxa"/>
            </w:tcMar>
          </w:tcPr>
          <w:p w14:paraId="2614147C" w14:textId="6EDFA130" w:rsidR="00571993" w:rsidRDefault="00237399" w:rsidP="00143FD2">
            <w:r>
              <w:t>3-4 long shifts plus frequent bank shifts</w:t>
            </w:r>
          </w:p>
        </w:tc>
      </w:tr>
      <w:tr w:rsidR="00571993" w14:paraId="3769D5B7" w14:textId="77777777">
        <w:tc>
          <w:tcPr>
            <w:tcW w:w="720" w:type="dxa"/>
            <w:tcMar>
              <w:top w:w="40" w:type="dxa"/>
              <w:left w:w="80" w:type="dxa"/>
              <w:bottom w:w="40" w:type="dxa"/>
              <w:right w:w="80" w:type="dxa"/>
            </w:tcMar>
          </w:tcPr>
          <w:p w14:paraId="41AB3046" w14:textId="77777777" w:rsidR="00571993" w:rsidRDefault="00237399" w:rsidP="00143FD2">
            <w:r>
              <w:t>R3</w:t>
            </w:r>
          </w:p>
        </w:tc>
        <w:tc>
          <w:tcPr>
            <w:tcW w:w="1500" w:type="dxa"/>
            <w:tcMar>
              <w:top w:w="40" w:type="dxa"/>
              <w:left w:w="80" w:type="dxa"/>
              <w:bottom w:w="40" w:type="dxa"/>
              <w:right w:w="80" w:type="dxa"/>
            </w:tcMar>
          </w:tcPr>
          <w:p w14:paraId="5F67CE4F" w14:textId="77777777" w:rsidR="00571993" w:rsidRDefault="00237399" w:rsidP="00143FD2">
            <w:r>
              <w:t>Healthcare (NHS)</w:t>
            </w:r>
          </w:p>
        </w:tc>
        <w:tc>
          <w:tcPr>
            <w:tcW w:w="2620" w:type="dxa"/>
            <w:tcMar>
              <w:top w:w="40" w:type="dxa"/>
              <w:left w:w="80" w:type="dxa"/>
              <w:bottom w:w="40" w:type="dxa"/>
              <w:right w:w="80" w:type="dxa"/>
            </w:tcMar>
          </w:tcPr>
          <w:p w14:paraId="2C62A795" w14:textId="77777777" w:rsidR="00571993" w:rsidRDefault="00237399" w:rsidP="00143FD2">
            <w:r>
              <w:t>Registered nurse, acute medical ward</w:t>
            </w:r>
          </w:p>
        </w:tc>
        <w:tc>
          <w:tcPr>
            <w:tcW w:w="1100" w:type="dxa"/>
            <w:tcMar>
              <w:top w:w="40" w:type="dxa"/>
              <w:left w:w="80" w:type="dxa"/>
              <w:bottom w:w="40" w:type="dxa"/>
              <w:right w:w="80" w:type="dxa"/>
            </w:tcMar>
          </w:tcPr>
          <w:p w14:paraId="5FC3D4C5" w14:textId="77777777" w:rsidR="00571993" w:rsidRDefault="00237399" w:rsidP="00143FD2">
            <w:r>
              <w:t>9 years</w:t>
            </w:r>
          </w:p>
        </w:tc>
        <w:tc>
          <w:tcPr>
            <w:tcW w:w="3100" w:type="dxa"/>
            <w:tcMar>
              <w:top w:w="40" w:type="dxa"/>
              <w:left w:w="80" w:type="dxa"/>
              <w:bottom w:w="40" w:type="dxa"/>
              <w:right w:w="80" w:type="dxa"/>
            </w:tcMar>
          </w:tcPr>
          <w:p w14:paraId="76C67B01" w14:textId="3387A58A" w:rsidR="00571993" w:rsidRDefault="00237399" w:rsidP="00143FD2">
            <w:r>
              <w:t>3-4 long shifts plus overtime</w:t>
            </w:r>
          </w:p>
        </w:tc>
      </w:tr>
      <w:tr w:rsidR="00571993" w14:paraId="5193769F" w14:textId="77777777">
        <w:tc>
          <w:tcPr>
            <w:tcW w:w="720" w:type="dxa"/>
            <w:tcMar>
              <w:top w:w="40" w:type="dxa"/>
              <w:left w:w="80" w:type="dxa"/>
              <w:bottom w:w="40" w:type="dxa"/>
              <w:right w:w="80" w:type="dxa"/>
            </w:tcMar>
          </w:tcPr>
          <w:p w14:paraId="7238AD29" w14:textId="77777777" w:rsidR="00571993" w:rsidRDefault="00237399" w:rsidP="00143FD2">
            <w:r>
              <w:t>R4</w:t>
            </w:r>
          </w:p>
        </w:tc>
        <w:tc>
          <w:tcPr>
            <w:tcW w:w="1500" w:type="dxa"/>
            <w:tcMar>
              <w:top w:w="40" w:type="dxa"/>
              <w:left w:w="80" w:type="dxa"/>
              <w:bottom w:w="40" w:type="dxa"/>
              <w:right w:w="80" w:type="dxa"/>
            </w:tcMar>
          </w:tcPr>
          <w:p w14:paraId="0357FC61" w14:textId="77777777" w:rsidR="00571993" w:rsidRDefault="00237399" w:rsidP="00143FD2">
            <w:r>
              <w:t>Finance</w:t>
            </w:r>
          </w:p>
        </w:tc>
        <w:tc>
          <w:tcPr>
            <w:tcW w:w="2620" w:type="dxa"/>
            <w:tcMar>
              <w:top w:w="40" w:type="dxa"/>
              <w:left w:w="80" w:type="dxa"/>
              <w:bottom w:w="40" w:type="dxa"/>
              <w:right w:w="80" w:type="dxa"/>
            </w:tcMar>
          </w:tcPr>
          <w:p w14:paraId="6179B9BA" w14:textId="77777777" w:rsidR="00571993" w:rsidRDefault="00237399" w:rsidP="00143FD2">
            <w:r>
              <w:t>Risk analyst, large bank</w:t>
            </w:r>
          </w:p>
        </w:tc>
        <w:tc>
          <w:tcPr>
            <w:tcW w:w="1100" w:type="dxa"/>
            <w:tcMar>
              <w:top w:w="40" w:type="dxa"/>
              <w:left w:w="80" w:type="dxa"/>
              <w:bottom w:w="40" w:type="dxa"/>
              <w:right w:w="80" w:type="dxa"/>
            </w:tcMar>
          </w:tcPr>
          <w:p w14:paraId="15D70005" w14:textId="77777777" w:rsidR="00571993" w:rsidRDefault="00237399" w:rsidP="00143FD2">
            <w:r>
              <w:t>11 years</w:t>
            </w:r>
          </w:p>
        </w:tc>
        <w:tc>
          <w:tcPr>
            <w:tcW w:w="3100" w:type="dxa"/>
            <w:tcMar>
              <w:top w:w="40" w:type="dxa"/>
              <w:left w:w="80" w:type="dxa"/>
              <w:bottom w:w="40" w:type="dxa"/>
              <w:right w:w="80" w:type="dxa"/>
            </w:tcMar>
          </w:tcPr>
          <w:p w14:paraId="7428856C" w14:textId="26655280" w:rsidR="00571993" w:rsidRDefault="00237399" w:rsidP="00143FD2">
            <w:r>
              <w:t>52-55 hrs; 3 office days, more at quarter end</w:t>
            </w:r>
          </w:p>
        </w:tc>
      </w:tr>
      <w:tr w:rsidR="00571993" w14:paraId="7A273F05" w14:textId="77777777">
        <w:tc>
          <w:tcPr>
            <w:tcW w:w="720" w:type="dxa"/>
            <w:tcMar>
              <w:top w:w="40" w:type="dxa"/>
              <w:left w:w="80" w:type="dxa"/>
              <w:bottom w:w="40" w:type="dxa"/>
              <w:right w:w="80" w:type="dxa"/>
            </w:tcMar>
          </w:tcPr>
          <w:p w14:paraId="213A8B4E" w14:textId="77777777" w:rsidR="00571993" w:rsidRDefault="00237399" w:rsidP="00143FD2">
            <w:r>
              <w:t>R5</w:t>
            </w:r>
          </w:p>
        </w:tc>
        <w:tc>
          <w:tcPr>
            <w:tcW w:w="1500" w:type="dxa"/>
            <w:tcMar>
              <w:top w:w="40" w:type="dxa"/>
              <w:left w:w="80" w:type="dxa"/>
              <w:bottom w:w="40" w:type="dxa"/>
              <w:right w:w="80" w:type="dxa"/>
            </w:tcMar>
          </w:tcPr>
          <w:p w14:paraId="5DFEE522" w14:textId="77777777" w:rsidR="00571993" w:rsidRDefault="00237399" w:rsidP="00143FD2">
            <w:r>
              <w:t>Finance</w:t>
            </w:r>
          </w:p>
        </w:tc>
        <w:tc>
          <w:tcPr>
            <w:tcW w:w="2620" w:type="dxa"/>
            <w:tcMar>
              <w:top w:w="40" w:type="dxa"/>
              <w:left w:w="80" w:type="dxa"/>
              <w:bottom w:w="40" w:type="dxa"/>
              <w:right w:w="80" w:type="dxa"/>
            </w:tcMar>
          </w:tcPr>
          <w:p w14:paraId="16A9333A" w14:textId="77777777" w:rsidR="00571993" w:rsidRDefault="00237399" w:rsidP="00143FD2">
            <w:r>
              <w:t>Risk analyst, large bank</w:t>
            </w:r>
          </w:p>
        </w:tc>
        <w:tc>
          <w:tcPr>
            <w:tcW w:w="1100" w:type="dxa"/>
            <w:tcMar>
              <w:top w:w="40" w:type="dxa"/>
              <w:left w:w="80" w:type="dxa"/>
              <w:bottom w:w="40" w:type="dxa"/>
              <w:right w:w="80" w:type="dxa"/>
            </w:tcMar>
          </w:tcPr>
          <w:p w14:paraId="741F04CB" w14:textId="77777777" w:rsidR="00571993" w:rsidRDefault="00237399" w:rsidP="00143FD2">
            <w:r>
              <w:t>11 years</w:t>
            </w:r>
          </w:p>
        </w:tc>
        <w:tc>
          <w:tcPr>
            <w:tcW w:w="3100" w:type="dxa"/>
            <w:tcMar>
              <w:top w:w="40" w:type="dxa"/>
              <w:left w:w="80" w:type="dxa"/>
              <w:bottom w:w="40" w:type="dxa"/>
              <w:right w:w="80" w:type="dxa"/>
            </w:tcMar>
          </w:tcPr>
          <w:p w14:paraId="6507DFF2" w14:textId="56047C4C" w:rsidR="00571993" w:rsidRDefault="00237399" w:rsidP="00143FD2">
            <w:r>
              <w:t>50-55 hrs; hybrid, heavier at reporting periods</w:t>
            </w:r>
          </w:p>
        </w:tc>
      </w:tr>
      <w:tr w:rsidR="00571993" w14:paraId="7E87F83A" w14:textId="77777777">
        <w:tc>
          <w:tcPr>
            <w:tcW w:w="720" w:type="dxa"/>
            <w:tcMar>
              <w:top w:w="40" w:type="dxa"/>
              <w:left w:w="80" w:type="dxa"/>
              <w:bottom w:w="40" w:type="dxa"/>
              <w:right w:w="80" w:type="dxa"/>
            </w:tcMar>
          </w:tcPr>
          <w:p w14:paraId="4EA9A989" w14:textId="77777777" w:rsidR="00571993" w:rsidRDefault="00237399" w:rsidP="00143FD2">
            <w:r>
              <w:t>R6</w:t>
            </w:r>
          </w:p>
        </w:tc>
        <w:tc>
          <w:tcPr>
            <w:tcW w:w="1500" w:type="dxa"/>
            <w:tcMar>
              <w:top w:w="40" w:type="dxa"/>
              <w:left w:w="80" w:type="dxa"/>
              <w:bottom w:w="40" w:type="dxa"/>
              <w:right w:w="80" w:type="dxa"/>
            </w:tcMar>
          </w:tcPr>
          <w:p w14:paraId="5DD9DD63" w14:textId="77777777" w:rsidR="00571993" w:rsidRDefault="00237399" w:rsidP="00143FD2">
            <w:r>
              <w:t>Technology</w:t>
            </w:r>
          </w:p>
        </w:tc>
        <w:tc>
          <w:tcPr>
            <w:tcW w:w="2620" w:type="dxa"/>
            <w:tcMar>
              <w:top w:w="40" w:type="dxa"/>
              <w:left w:w="80" w:type="dxa"/>
              <w:bottom w:w="40" w:type="dxa"/>
              <w:right w:w="80" w:type="dxa"/>
            </w:tcMar>
          </w:tcPr>
          <w:p w14:paraId="0A0EF908" w14:textId="77777777" w:rsidR="00571993" w:rsidRDefault="00237399" w:rsidP="00143FD2">
            <w:r>
              <w:t>Software developer, mid-sized SaaS firm</w:t>
            </w:r>
          </w:p>
        </w:tc>
        <w:tc>
          <w:tcPr>
            <w:tcW w:w="1100" w:type="dxa"/>
            <w:tcMar>
              <w:top w:w="40" w:type="dxa"/>
              <w:left w:w="80" w:type="dxa"/>
              <w:bottom w:w="40" w:type="dxa"/>
              <w:right w:w="80" w:type="dxa"/>
            </w:tcMar>
          </w:tcPr>
          <w:p w14:paraId="7B74681E" w14:textId="77777777" w:rsidR="00571993" w:rsidRDefault="00237399" w:rsidP="00143FD2">
            <w:r>
              <w:t>4 years</w:t>
            </w:r>
          </w:p>
        </w:tc>
        <w:tc>
          <w:tcPr>
            <w:tcW w:w="3100" w:type="dxa"/>
            <w:tcMar>
              <w:top w:w="40" w:type="dxa"/>
              <w:left w:w="80" w:type="dxa"/>
              <w:bottom w:w="40" w:type="dxa"/>
              <w:right w:w="80" w:type="dxa"/>
            </w:tcMar>
          </w:tcPr>
          <w:p w14:paraId="3BCB3A4A" w14:textId="77777777" w:rsidR="00571993" w:rsidRDefault="00237399" w:rsidP="00143FD2">
            <w:r>
              <w:t>~40 hrs; hybrid with flexible core hours</w:t>
            </w:r>
          </w:p>
        </w:tc>
      </w:tr>
      <w:tr w:rsidR="00571993" w14:paraId="79E4095B" w14:textId="77777777">
        <w:tc>
          <w:tcPr>
            <w:tcW w:w="720" w:type="dxa"/>
            <w:tcMar>
              <w:top w:w="40" w:type="dxa"/>
              <w:left w:w="80" w:type="dxa"/>
              <w:bottom w:w="40" w:type="dxa"/>
              <w:right w:w="80" w:type="dxa"/>
            </w:tcMar>
          </w:tcPr>
          <w:p w14:paraId="414AD6FC" w14:textId="77777777" w:rsidR="00571993" w:rsidRDefault="00237399" w:rsidP="00143FD2">
            <w:r>
              <w:t>R7</w:t>
            </w:r>
          </w:p>
        </w:tc>
        <w:tc>
          <w:tcPr>
            <w:tcW w:w="1500" w:type="dxa"/>
            <w:tcMar>
              <w:top w:w="40" w:type="dxa"/>
              <w:left w:w="80" w:type="dxa"/>
              <w:bottom w:w="40" w:type="dxa"/>
              <w:right w:w="80" w:type="dxa"/>
            </w:tcMar>
          </w:tcPr>
          <w:p w14:paraId="6F265C95" w14:textId="77777777" w:rsidR="00571993" w:rsidRDefault="00237399" w:rsidP="00143FD2">
            <w:r>
              <w:t>Technology</w:t>
            </w:r>
          </w:p>
        </w:tc>
        <w:tc>
          <w:tcPr>
            <w:tcW w:w="2620" w:type="dxa"/>
            <w:tcMar>
              <w:top w:w="40" w:type="dxa"/>
              <w:left w:w="80" w:type="dxa"/>
              <w:bottom w:w="40" w:type="dxa"/>
              <w:right w:w="80" w:type="dxa"/>
            </w:tcMar>
          </w:tcPr>
          <w:p w14:paraId="2DBAB492" w14:textId="77777777" w:rsidR="00571993" w:rsidRDefault="00237399" w:rsidP="00143FD2">
            <w:r>
              <w:t>Software developer, mid-sized SaaS firm</w:t>
            </w:r>
          </w:p>
        </w:tc>
        <w:tc>
          <w:tcPr>
            <w:tcW w:w="1100" w:type="dxa"/>
            <w:tcMar>
              <w:top w:w="40" w:type="dxa"/>
              <w:left w:w="80" w:type="dxa"/>
              <w:bottom w:w="40" w:type="dxa"/>
              <w:right w:w="80" w:type="dxa"/>
            </w:tcMar>
          </w:tcPr>
          <w:p w14:paraId="6EAE0301" w14:textId="77777777" w:rsidR="00571993" w:rsidRDefault="00237399" w:rsidP="00143FD2">
            <w:r>
              <w:t>4 years</w:t>
            </w:r>
          </w:p>
        </w:tc>
        <w:tc>
          <w:tcPr>
            <w:tcW w:w="3100" w:type="dxa"/>
            <w:tcMar>
              <w:top w:w="40" w:type="dxa"/>
              <w:left w:w="80" w:type="dxa"/>
              <w:bottom w:w="40" w:type="dxa"/>
              <w:right w:w="80" w:type="dxa"/>
            </w:tcMar>
          </w:tcPr>
          <w:p w14:paraId="24B61F85" w14:textId="77777777" w:rsidR="00571993" w:rsidRDefault="00237399" w:rsidP="00143FD2">
            <w:r>
              <w:t>~40 hrs; hybrid, three remote days</w:t>
            </w:r>
          </w:p>
        </w:tc>
      </w:tr>
      <w:tr w:rsidR="00571993" w14:paraId="0B404A30" w14:textId="77777777">
        <w:tc>
          <w:tcPr>
            <w:tcW w:w="720" w:type="dxa"/>
            <w:tcMar>
              <w:top w:w="40" w:type="dxa"/>
              <w:left w:w="80" w:type="dxa"/>
              <w:bottom w:w="40" w:type="dxa"/>
              <w:right w:w="80" w:type="dxa"/>
            </w:tcMar>
          </w:tcPr>
          <w:p w14:paraId="3C47D24F" w14:textId="77777777" w:rsidR="00571993" w:rsidRDefault="00237399" w:rsidP="00143FD2">
            <w:r>
              <w:t>R8</w:t>
            </w:r>
          </w:p>
        </w:tc>
        <w:tc>
          <w:tcPr>
            <w:tcW w:w="1500" w:type="dxa"/>
            <w:tcMar>
              <w:top w:w="40" w:type="dxa"/>
              <w:left w:w="80" w:type="dxa"/>
              <w:bottom w:w="40" w:type="dxa"/>
              <w:right w:w="80" w:type="dxa"/>
            </w:tcMar>
          </w:tcPr>
          <w:p w14:paraId="2A5BEA0E" w14:textId="77777777" w:rsidR="00571993" w:rsidRDefault="00237399" w:rsidP="00143FD2">
            <w:r>
              <w:t>Technology</w:t>
            </w:r>
          </w:p>
        </w:tc>
        <w:tc>
          <w:tcPr>
            <w:tcW w:w="2620" w:type="dxa"/>
            <w:tcMar>
              <w:top w:w="40" w:type="dxa"/>
              <w:left w:w="80" w:type="dxa"/>
              <w:bottom w:w="40" w:type="dxa"/>
              <w:right w:w="80" w:type="dxa"/>
            </w:tcMar>
          </w:tcPr>
          <w:p w14:paraId="232EEE42" w14:textId="77777777" w:rsidR="00571993" w:rsidRDefault="00237399" w:rsidP="00143FD2">
            <w:r>
              <w:t>Software developer, mid-sized SaaS firm</w:t>
            </w:r>
          </w:p>
        </w:tc>
        <w:tc>
          <w:tcPr>
            <w:tcW w:w="1100" w:type="dxa"/>
            <w:tcMar>
              <w:top w:w="40" w:type="dxa"/>
              <w:left w:w="80" w:type="dxa"/>
              <w:bottom w:w="40" w:type="dxa"/>
              <w:right w:w="80" w:type="dxa"/>
            </w:tcMar>
          </w:tcPr>
          <w:p w14:paraId="5A772547" w14:textId="77777777" w:rsidR="00571993" w:rsidRDefault="00237399" w:rsidP="00143FD2">
            <w:r>
              <w:t>4 years</w:t>
            </w:r>
          </w:p>
        </w:tc>
        <w:tc>
          <w:tcPr>
            <w:tcW w:w="3100" w:type="dxa"/>
            <w:tcMar>
              <w:top w:w="40" w:type="dxa"/>
              <w:left w:w="80" w:type="dxa"/>
              <w:bottom w:w="40" w:type="dxa"/>
              <w:right w:w="80" w:type="dxa"/>
            </w:tcMar>
          </w:tcPr>
          <w:p w14:paraId="27DE03B0" w14:textId="77777777" w:rsidR="00571993" w:rsidRDefault="00237399" w:rsidP="00143FD2">
            <w:r>
              <w:t>~40 hrs; hybrid with flexible core hours</w:t>
            </w:r>
          </w:p>
        </w:tc>
      </w:tr>
      <w:tr w:rsidR="00571993" w14:paraId="42FD8E16" w14:textId="77777777">
        <w:tc>
          <w:tcPr>
            <w:tcW w:w="720" w:type="dxa"/>
            <w:tcMar>
              <w:top w:w="40" w:type="dxa"/>
              <w:left w:w="80" w:type="dxa"/>
              <w:bottom w:w="40" w:type="dxa"/>
              <w:right w:w="80" w:type="dxa"/>
            </w:tcMar>
          </w:tcPr>
          <w:p w14:paraId="3C6ABF59" w14:textId="77777777" w:rsidR="00571993" w:rsidRDefault="00237399" w:rsidP="00143FD2">
            <w:r>
              <w:t>R9</w:t>
            </w:r>
          </w:p>
        </w:tc>
        <w:tc>
          <w:tcPr>
            <w:tcW w:w="1500" w:type="dxa"/>
            <w:tcMar>
              <w:top w:w="40" w:type="dxa"/>
              <w:left w:w="80" w:type="dxa"/>
              <w:bottom w:w="40" w:type="dxa"/>
              <w:right w:w="80" w:type="dxa"/>
            </w:tcMar>
          </w:tcPr>
          <w:p w14:paraId="663B7DBD" w14:textId="77777777" w:rsidR="00571993" w:rsidRDefault="00237399" w:rsidP="00143FD2">
            <w:r>
              <w:t>Creative</w:t>
            </w:r>
          </w:p>
        </w:tc>
        <w:tc>
          <w:tcPr>
            <w:tcW w:w="2620" w:type="dxa"/>
            <w:tcMar>
              <w:top w:w="40" w:type="dxa"/>
              <w:left w:w="80" w:type="dxa"/>
              <w:bottom w:w="40" w:type="dxa"/>
              <w:right w:w="80" w:type="dxa"/>
            </w:tcMar>
          </w:tcPr>
          <w:p w14:paraId="1353B5A5" w14:textId="77777777" w:rsidR="00571993" w:rsidRDefault="00237399" w:rsidP="00143FD2">
            <w:r>
              <w:t>Marketing manager, small creative agency</w:t>
            </w:r>
          </w:p>
        </w:tc>
        <w:tc>
          <w:tcPr>
            <w:tcW w:w="1100" w:type="dxa"/>
            <w:tcMar>
              <w:top w:w="40" w:type="dxa"/>
              <w:left w:w="80" w:type="dxa"/>
              <w:bottom w:w="40" w:type="dxa"/>
              <w:right w:w="80" w:type="dxa"/>
            </w:tcMar>
          </w:tcPr>
          <w:p w14:paraId="0D6C49B2" w14:textId="77777777" w:rsidR="00571993" w:rsidRDefault="00237399" w:rsidP="00143FD2">
            <w:r>
              <w:t>6 years</w:t>
            </w:r>
          </w:p>
        </w:tc>
        <w:tc>
          <w:tcPr>
            <w:tcW w:w="3100" w:type="dxa"/>
            <w:tcMar>
              <w:top w:w="40" w:type="dxa"/>
              <w:left w:w="80" w:type="dxa"/>
              <w:bottom w:w="40" w:type="dxa"/>
              <w:right w:w="80" w:type="dxa"/>
            </w:tcMar>
          </w:tcPr>
          <w:p w14:paraId="0E53E179" w14:textId="69AC8B34" w:rsidR="00571993" w:rsidRDefault="00237399" w:rsidP="00143FD2">
            <w:r>
              <w:t>45-50 hrs; informal flexibility, deadline-driven</w:t>
            </w:r>
          </w:p>
        </w:tc>
      </w:tr>
      <w:tr w:rsidR="00571993" w14:paraId="6287FC20" w14:textId="77777777">
        <w:tc>
          <w:tcPr>
            <w:tcW w:w="720" w:type="dxa"/>
            <w:tcMar>
              <w:top w:w="40" w:type="dxa"/>
              <w:left w:w="80" w:type="dxa"/>
              <w:bottom w:w="40" w:type="dxa"/>
              <w:right w:w="80" w:type="dxa"/>
            </w:tcMar>
          </w:tcPr>
          <w:p w14:paraId="1440C580" w14:textId="77777777" w:rsidR="00571993" w:rsidRDefault="00237399" w:rsidP="00143FD2">
            <w:r>
              <w:t>R10</w:t>
            </w:r>
          </w:p>
        </w:tc>
        <w:tc>
          <w:tcPr>
            <w:tcW w:w="1500" w:type="dxa"/>
            <w:tcMar>
              <w:top w:w="40" w:type="dxa"/>
              <w:left w:w="80" w:type="dxa"/>
              <w:bottom w:w="40" w:type="dxa"/>
              <w:right w:w="80" w:type="dxa"/>
            </w:tcMar>
          </w:tcPr>
          <w:p w14:paraId="13E57B5F" w14:textId="77777777" w:rsidR="00571993" w:rsidRDefault="00237399" w:rsidP="00143FD2">
            <w:r>
              <w:t>Creative</w:t>
            </w:r>
          </w:p>
        </w:tc>
        <w:tc>
          <w:tcPr>
            <w:tcW w:w="2620" w:type="dxa"/>
            <w:tcMar>
              <w:top w:w="40" w:type="dxa"/>
              <w:left w:w="80" w:type="dxa"/>
              <w:bottom w:w="40" w:type="dxa"/>
              <w:right w:w="80" w:type="dxa"/>
            </w:tcMar>
          </w:tcPr>
          <w:p w14:paraId="65BAA401" w14:textId="77777777" w:rsidR="00571993" w:rsidRDefault="00237399" w:rsidP="00143FD2">
            <w:r>
              <w:t>Marketing manager, small creative agency</w:t>
            </w:r>
          </w:p>
        </w:tc>
        <w:tc>
          <w:tcPr>
            <w:tcW w:w="1100" w:type="dxa"/>
            <w:tcMar>
              <w:top w:w="40" w:type="dxa"/>
              <w:left w:w="80" w:type="dxa"/>
              <w:bottom w:w="40" w:type="dxa"/>
              <w:right w:w="80" w:type="dxa"/>
            </w:tcMar>
          </w:tcPr>
          <w:p w14:paraId="4432B8EB" w14:textId="77777777" w:rsidR="00571993" w:rsidRDefault="00237399" w:rsidP="00143FD2">
            <w:r>
              <w:t>6 years</w:t>
            </w:r>
          </w:p>
        </w:tc>
        <w:tc>
          <w:tcPr>
            <w:tcW w:w="3100" w:type="dxa"/>
            <w:tcMar>
              <w:top w:w="40" w:type="dxa"/>
              <w:left w:w="80" w:type="dxa"/>
              <w:bottom w:w="40" w:type="dxa"/>
              <w:right w:w="80" w:type="dxa"/>
            </w:tcMar>
          </w:tcPr>
          <w:p w14:paraId="68ECE131" w14:textId="17B00E34" w:rsidR="00571993" w:rsidRDefault="00237399" w:rsidP="00143FD2">
            <w:r>
              <w:t>45-50 hrs; informal flexibility, deadline-driven</w:t>
            </w:r>
          </w:p>
        </w:tc>
      </w:tr>
    </w:tbl>
    <w:p w14:paraId="15E043F9" w14:textId="72BB6775" w:rsidR="00571993" w:rsidRDefault="00571993" w:rsidP="00143FD2"/>
    <w:p w14:paraId="1A7CF1D6" w14:textId="77777777" w:rsidR="00143FD2" w:rsidRDefault="00143FD2" w:rsidP="00143FD2"/>
    <w:p w14:paraId="579C73F5" w14:textId="77777777" w:rsidR="00571993" w:rsidRDefault="00237399" w:rsidP="0098366A">
      <w:pPr>
        <w:pStyle w:val="Heading2"/>
      </w:pPr>
      <w:bookmarkStart w:id="43" w:name="_Toc241018059"/>
      <w:r>
        <w:lastRenderedPageBreak/>
        <w:t>4.3 Theme 1: Policy on paper versus policy in practice</w:t>
      </w:r>
      <w:bookmarkEnd w:id="43"/>
    </w:p>
    <w:p w14:paraId="61B416F8" w14:textId="4FB2D1BC" w:rsidR="00922750" w:rsidRDefault="00922750" w:rsidP="00143FD2">
      <w:r>
        <w:t>The most obvious finding was the difference between the policies organisations had and those that employees were able to access. All participants were able to identify a range of formal and informal WLB arrangements but experienced different journeys to these arrangements by sector. The written offer to the NHS nurses was good, but the most cherished policy never worked on the ground:</w:t>
      </w:r>
    </w:p>
    <w:p w14:paraId="7C23F08A" w14:textId="09CFE947" w:rsidR="00922750" w:rsidRDefault="00237399" w:rsidP="00143FD2">
      <w:r>
        <w:t>"Flexible rostering is the obvious one. In theory it is available, but when staffing is tight your request simply gets turned down. So the policy technically exists, yet it is not something you can genuinely rely on." (R1, NHS nurse)</w:t>
      </w:r>
    </w:p>
    <w:p w14:paraId="3DBDD5F8" w14:textId="116F98A3" w:rsidR="00922750" w:rsidRDefault="00922750" w:rsidP="00143FD2">
      <w:r>
        <w:t>Informal learning by the same nurses, of their entitlements, created a gap between availability and access. When asked about how he learned about it R2 replied that he primarily learned it through the internet and through his union representative rather than through his manager; "The way it's communicated is quite hit and miss." In the finance sector the opposite was true: there was no shortage of communication, but the impact was the same. Strict policies were well advertised on the HR portal which were very detailed, but some parts were not easy to use in the everyday context (R4). R4 said the right to disconnect was "strong on paper and weak in practice; leaving on time - you can but it's frowned upon culturally."</w:t>
      </w:r>
    </w:p>
    <w:p w14:paraId="666A826D" w14:textId="55711D68" w:rsidR="00922750" w:rsidRDefault="00922750" w:rsidP="00143FD2">
      <w:r>
        <w:t>In the creative agency, the issue was that there was no policy at all. There was flexibility but only in an informal favour:</w:t>
      </w:r>
    </w:p>
    <w:p w14:paraId="3EC6B2C2" w14:textId="77777777" w:rsidR="00571993" w:rsidRDefault="00237399" w:rsidP="00143FD2">
      <w:r>
        <w:t>"The flexibility itself is the example. It is entirely informal, so it comes down to favour rather than any actual policy. There is no document spelling out what I am entitled to, which makes it all feel arbitrary." (R9, marketing manager)</w:t>
      </w:r>
    </w:p>
    <w:p w14:paraId="76A2FAE6" w14:textId="77777777" w:rsidR="00922750" w:rsidRDefault="00922750" w:rsidP="00143FD2">
      <w:r>
        <w:t>How employees initially were introduced to their entitlements also played a role in the sense of how these entitlements were felt to be usable. The nurses found their options via informal sources (union and internet) whilst the finance staff found their options via a formal HR portal and the technology staff found their options via a structured induction supported by managerial encouragement. The first objective is affected by this as it is the first step in a policy becoming a resource, where communication was patchy, employees have had to find information themselves, creating another barrier on top of the practical one. Good WLB provision requires policy and the staff who implement it but also that it is clearly and consistently communicated to those who it is intended to support.</w:t>
      </w:r>
    </w:p>
    <w:p w14:paraId="6A2D1AAA" w14:textId="244229A2" w:rsidR="0098366A" w:rsidRDefault="00922750" w:rsidP="00143FD2">
      <w:pPr>
        <w:rPr>
          <w:b/>
          <w:bCs/>
        </w:rPr>
      </w:pPr>
      <w:r>
        <w:lastRenderedPageBreak/>
        <w:t xml:space="preserve">The technology firm was the only case where policy and practice coincided. It was documented, explained, and encouraged: "it was covered properly during onboarding and set out clearly in the handbook </w:t>
      </w:r>
      <w:r w:rsidRPr="0040037B">
        <w:t>-</w:t>
      </w:r>
      <w:r>
        <w:t xml:space="preserve"> my manager reminds people to actually use it” (R6). Based on the Job Demands</w:t>
      </w:r>
      <w:r w:rsidRPr="0040037B">
        <w:t>-</w:t>
      </w:r>
      <w:r>
        <w:t>Resources model (JD-R model), the interpretation of these accounts is that a WLB policy is only a genuine resource when it can be accessed, but is neutralised when it cannot (Demerouti et al., 2001). Later expressions of the model emphasise that the buffering effects occur when the resources can actually be accessed (Bakker and Demerouti, 2017). When the job demands exceed the resources, as they did with the nurses, in this case due to chronic understaffing, the flexible rostering resource was not offset by the demands (Lesener et al., 2019). The contrast between structural availability and cultural accessibility for the literature search review is thus well substantiated by the data, and the sector pattern is echoed by previous evidence of spatial flexibility in knowledge work, and structural rigidity in frontline healthcare. This theme relates directly to the first research goal, demonstrating that determining whether a policy works is not the same as identifying a policy.</w:t>
      </w:r>
    </w:p>
    <w:p w14:paraId="3D4FD2F4" w14:textId="77777777" w:rsidR="0098366A" w:rsidRDefault="0098366A" w:rsidP="0098366A">
      <w:pPr>
        <w:pStyle w:val="Heading2"/>
      </w:pPr>
    </w:p>
    <w:p w14:paraId="3532EFBA" w14:textId="5F64E91C" w:rsidR="00571993" w:rsidRDefault="00922750" w:rsidP="0098366A">
      <w:pPr>
        <w:pStyle w:val="Heading2"/>
      </w:pPr>
      <w:bookmarkStart w:id="44" w:name="_Toc241018060"/>
      <w:r>
        <w:t>4.4 Theme 2: The cultural cost of using policies</w:t>
      </w:r>
      <w:bookmarkEnd w:id="44"/>
    </w:p>
    <w:p w14:paraId="285D093C" w14:textId="70ACA22E" w:rsidR="00922750" w:rsidRDefault="00922750" w:rsidP="00143FD2">
      <w:r>
        <w:t>If there was a policy, implementation was not without social or emotional cost. The cost of this took various forms in the three sectors with higher pressures, being extremely pronounced in the fourth sector. For finance, the barrier was presenteeism. The formal policies were good, but a tacit rule to be seen was undermining them:</w:t>
      </w:r>
    </w:p>
    <w:p w14:paraId="3569A2D5" w14:textId="77777777" w:rsidR="00571993" w:rsidRDefault="00237399" w:rsidP="00143FD2">
      <w:r>
        <w:t>"The policies themselves are fine, but there is genuine presenteeism. The senior people stay late, so there is a subtle pressure to be seen doing likewise, even when your work is finished." (R4, risk analyst)</w:t>
      </w:r>
    </w:p>
    <w:p w14:paraId="73167C86" w14:textId="2648BB34" w:rsidR="00922750" w:rsidRDefault="00922750" w:rsidP="00143FD2">
      <w:r>
        <w:t>For the NHS nurses, it was a felt sense of guilt but not a risk to their livelihoods. R1 explained that her manager supports her in a way, but because of the roster, “sometimes I feel bad asking him for a day off, it's like I'm letting the team down in what he says.” The same disquiet was experienced in the creative agency: "If I log off at an appropriate time, I still feel guilty like I should be doing more" (R9). The workers in the technology sector, on the other hand, reported no such punishment:</w:t>
      </w:r>
    </w:p>
    <w:p w14:paraId="3BA58613" w14:textId="58154F8B" w:rsidR="00922750" w:rsidRDefault="00237399" w:rsidP="00143FD2">
      <w:r>
        <w:t>"Completely normal. There is no stigma at all. The managers work flexibly themselves, so it feels safe rather than something you have to justify." (R6, software developer)</w:t>
      </w:r>
    </w:p>
    <w:p w14:paraId="084E5316" w14:textId="4EE6DE46" w:rsidR="00AC7F43" w:rsidRDefault="00922750" w:rsidP="00143FD2">
      <w:r>
        <w:lastRenderedPageBreak/>
        <w:t>These findings are congruent with Kahn's (1990) psychological safety: feel safe to use a provision without compromising one's place. When managers themselves embraced flexible working there was a perception of safety and the policy was not constrained; when the culture was based on the concept of the "ideal worker" with an emphasis on being seen and working long hours, there was a culture of the flexibility stigma (as defined in the literature by Williams, Blair-Loy and Berdahl, 2013). Experimental evidence shows such workers are judged less committed than their always-present peers (Munsch, 2016). The finance case is a textbook example; a complete resource base is being underutilised and undermined by a culture of presenteeism, and R5 captured this very well: “There may be all the policies in the world in big firms, or not, depending on the culture.” The data therefore serve to corroborate the main finding of the review that using structural provision is culturally penalised when it is deemed to be (Lott and Chung, 2016), and they directly address the second objective by demonstrating how perceptions of managerial and peer judgement can influence policy use or not.</w:t>
      </w:r>
    </w:p>
    <w:p w14:paraId="1D522B3D" w14:textId="2EFF0422" w:rsidR="00571993" w:rsidRDefault="00237399" w:rsidP="0098366A">
      <w:pPr>
        <w:pStyle w:val="Heading2"/>
      </w:pPr>
      <w:bookmarkStart w:id="45" w:name="_Toc241018061"/>
      <w:r>
        <w:t>4.5 Theme 3: Spillover, exhaustion, and protected recovery</w:t>
      </w:r>
      <w:bookmarkEnd w:id="45"/>
    </w:p>
    <w:p w14:paraId="1FFB9A69" w14:textId="3BF028A6" w:rsidR="00922750" w:rsidRDefault="00922750" w:rsidP="00143FD2">
      <w:r>
        <w:t>The third theme is about well-being, particularly the permeable boundary between the workplace and the home. Three of the four sectors had strong, and extreme, negative spillover described. Exhaustion was the most critical and was related to family relationships in the NHS accounts:</w:t>
      </w:r>
    </w:p>
    <w:p w14:paraId="7443FCC1" w14:textId="1943F80E" w:rsidR="00571993" w:rsidRDefault="00143FD2" w:rsidP="00143FD2">
      <w:r>
        <w:t>“After a rough shift I just cannot wind down. I lie awake going over whether I missed anything. I end up snappy with my children because there is nothing left in the tank, and then I feel like a terrible parent on top of it all." (R2, NHS nurse)</w:t>
      </w:r>
    </w:p>
    <w:p w14:paraId="336925FB" w14:textId="327069BF" w:rsidR="00922750" w:rsidRDefault="00922750" w:rsidP="00143FD2">
      <w:r>
        <w:t xml:space="preserve">Further, there was no protection for rest days, "days off do help, although I am often phoned to check if I will come in" (R3), which further undermined recovery. In finance, the </w:t>
      </w:r>
      <w:proofErr w:type="spellStart"/>
      <w:r>
        <w:t>spillover</w:t>
      </w:r>
      <w:proofErr w:type="spellEnd"/>
      <w:r>
        <w:t xml:space="preserve"> was centred on missing out on family time and always being reachable. While R5 appreciated the annual leave, he said, "I am still reachable on the phone, so it's not like it's a complete break; it's not really the culture that allows you to take a break." The creative manager said that he was witnessing a gradual deterioration of family life:</w:t>
      </w:r>
    </w:p>
    <w:p w14:paraId="301C14EF" w14:textId="77777777" w:rsidR="00571993" w:rsidRDefault="00237399" w:rsidP="00143FD2">
      <w:r>
        <w:t>"I find myself checking emails late into the evening and struggle to switch off, and my partner has pointed out that I am there but not there at weekends. It has begun to affect our relationship." (R9, marketing manager)</w:t>
      </w:r>
    </w:p>
    <w:p w14:paraId="2D812D2D" w14:textId="1D959B28" w:rsidR="00922750" w:rsidRDefault="00922750" w:rsidP="00143FD2">
      <w:r>
        <w:lastRenderedPageBreak/>
        <w:t>The workers in the technology sector once again had the counter case. Recovery was considered a shared responsibility rather than a personal choice: “I turn off notifications at night and they respect that - it's part of who we are to be recovering, not something I have to fight for” (R6) and after that big product launch “they gave us time off in lieu, and they really wanted us to take it” (R7). These accountings validated the foundation of Spillover Theory, which posits that workplace stress permeates personal life and vice versa (Staines, 1980), and the presence of actively managed boundary between workplace and personal life as posited by the Border Theory (Clark, 2000), as well as the recent evidence that unmitigated conflict harms well-being (Ratnaningsih and Idris, 2024). Importantly, the finance and creative cases show that flexibility, when taken together with an always-on culture, does not protect employees, but leaves them permanently bound (Mazmanian, Orlikowski and Yates, 2013). A diary study also related constant use of the smartphone to lower levels of detachment and increased levels of exhaustion (Derks, van Mierlo and Schmitz, 2014). It is not a question of whether there is flexibility, but whether the organisation guards the boundary needed for psychological detachment and for true recovery to happen (Sonnentag and Bayer, 2005). This theme addresses the second objective on well-being, highlighting the need to have an enforced right to disconnect to support well-being, and therefore improve it.</w:t>
      </w:r>
    </w:p>
    <w:p w14:paraId="1FAC5AC8" w14:textId="440621F6" w:rsidR="00571993" w:rsidRDefault="00237399" w:rsidP="0098366A">
      <w:pPr>
        <w:pStyle w:val="Heading2"/>
      </w:pPr>
      <w:bookmarkStart w:id="46" w:name="_Toc241018062"/>
      <w:r>
        <w:t>4.6 Theme 4: From “all in” to “just surviving</w:t>
      </w:r>
      <w:bookmarkEnd w:id="46"/>
      <w:r>
        <w:t>”</w:t>
      </w:r>
    </w:p>
    <w:p w14:paraId="3D13782B" w14:textId="338670FC" w:rsidR="00922750" w:rsidRDefault="00922750" w:rsidP="00143FD2">
      <w:r>
        <w:t>The fourth theme relates WLB to the energy and absorption that employees bring to their work (what we call engagement). To the nurses, there was an explicit dimension of conditionality in terms of whether the ward had a sufficient number of nurses:</w:t>
      </w:r>
    </w:p>
    <w:p w14:paraId="121E4D2E" w14:textId="77777777" w:rsidR="00571993" w:rsidRDefault="00237399" w:rsidP="00143FD2">
      <w:r>
        <w:t>"When we are staffed properly, I am completely engaged and I will go above and beyond for my patients. When we are stretched, I am just getting through it, ticking off tasks, with far less warmth to give, which is not the nurse I want to be." (R1, NHS nurse)</w:t>
      </w:r>
    </w:p>
    <w:p w14:paraId="79F054A1" w14:textId="0C1DA4E6" w:rsidR="00922750" w:rsidRDefault="00922750" w:rsidP="00143FD2">
      <w:r>
        <w:t xml:space="preserve">At its extreme, it became a detachment that was dangerous: having covered a double shift she was "totally detached, just mechanically working and watching the clock, that scared me, that's not safe in this line of work." During the busiest reporting season, the finance participants talked of a "bare minimum" (R5) and indicated they were "mentally checked out" (R5), whereas the work was "more duty than passion these days" (R4). The creative manager thought that her motivation was fading under the pressure of the always-on culture, but she also saw her own potential when she struck a balance: "When you find that balance, you come back with ideas in your head and a new level of motivation; I saw my own potential when I found that balance, </w:t>
      </w:r>
      <w:r>
        <w:lastRenderedPageBreak/>
        <w:t>and my motivation faded when I wasn't finding it" (R9). On the other side, the employees of the technology sector spoke of the opposite process:</w:t>
      </w:r>
    </w:p>
    <w:p w14:paraId="68FD86B9" w14:textId="77777777" w:rsidR="00571993" w:rsidRDefault="00237399" w:rsidP="00143FD2">
      <w:r>
        <w:t>"Having the autonomy makes me want to give more. I am more absorbed in the work because I do not feel micromanaged or drained." (R6, software developer)</w:t>
      </w:r>
    </w:p>
    <w:p w14:paraId="019BE80B" w14:textId="54875C51" w:rsidR="00922750" w:rsidRDefault="00922750" w:rsidP="00143FD2">
      <w:r>
        <w:t>These patterns support closely Kahn's (1990) suggestion that psychological availability (physical and emotional energy to invest in) is a necessary ingredient for engagement. When employees are exhausted, they will not be able to be there, and they will try to avoid it in order to keep themselves safe, a process that has been shown to be accurate in a later engagement scholarship (Rich, LePine and Crawford, 2010). This protective withdrawal has been shown more generally in the engagement literature (Saks, 2006). The technology company indicates that resources are effectively alleviating demands and allowing discretionary resources to be released, while the NHS company indicates that resources are being overwhelmed by demands, with engagement slipping into mere task completion (Bakker and Demerouti, 2017). Both cases are examples of the two opposing spirals in JD-R theory. In the tech company, sufficient resources and safe recovery seem to create a positive spiral of restored energy that is then, in turn, reinvested as discretionary effort; in the NHS, the never-ending need and the unprotected nature of recovery raise a depleting spiral, where recovered energy bleeds out of the process that requires it (Bakker and Demerouti, 2017). Remarkably, the nurses' comments on safety also stand out; the management of disengagement here is not only about well-being, it is also about patient safety and has a particular significance for management. The engagement half of the answer to this second objective thus comes from this theme.</w:t>
      </w:r>
    </w:p>
    <w:p w14:paraId="1720D26D" w14:textId="77777777" w:rsidR="00571993" w:rsidRDefault="00237399" w:rsidP="0098366A">
      <w:pPr>
        <w:pStyle w:val="Heading2"/>
      </w:pPr>
      <w:bookmarkStart w:id="47" w:name="_Toc241018063"/>
      <w:r>
        <w:t>4.7 Theme 5: Wanting to stay versus having to stay</w:t>
      </w:r>
      <w:bookmarkEnd w:id="47"/>
    </w:p>
    <w:p w14:paraId="62DDF432" w14:textId="3E34211A" w:rsidR="00922750" w:rsidRDefault="00922750" w:rsidP="00143FD2">
      <w:r>
        <w:t>The last theme was retention, and the data made a stark distinction between those who wished to remain and those who just found it tough to leave. The NHS nurses were actively thinking about leaving and were clear that only the cost of leaving was keeping them there:</w:t>
      </w:r>
    </w:p>
    <w:p w14:paraId="573C4081" w14:textId="77777777" w:rsidR="00571993" w:rsidRDefault="00237399" w:rsidP="00143FD2">
      <w:r>
        <w:t>"I love my patients and I have accumulated years in the pension, which keeps me tied in. But if it were purely about how I feel week to week, I would already be gone." (R3, NHS nurse)</w:t>
      </w:r>
    </w:p>
    <w:p w14:paraId="4C5D7878" w14:textId="19E94782" w:rsidR="00922750" w:rsidRDefault="00922750" w:rsidP="00143FD2">
      <w:r>
        <w:t xml:space="preserve">With turnover, it was definitely flexibility and not pay, as the driver reported that, "I would stay a hundred times a day if I could actually take it easy and not have to work around the clock, it's the burnout more than the money that's pushing me out the door." The finance analysts used a more palatable phrase for their entrapment. R4 planned to “probably stay” but </w:t>
      </w:r>
      <w:r>
        <w:lastRenderedPageBreak/>
        <w:t>“not out of any great enthusiasm,” most likely because of “the mortgage, the pension, eleven years invested - the golden handcuffs.” The creative manager was on the fence but made her decision directly tie to WLB:</w:t>
      </w:r>
    </w:p>
    <w:p w14:paraId="75210DBC" w14:textId="77777777" w:rsidR="00571993" w:rsidRDefault="00237399" w:rsidP="00143FD2">
      <w:r>
        <w:t>"If they sorted the boundaries out and made the flexibility official and fair, I would happily stay because I like the people around me." (R10, marketing manager)</w:t>
      </w:r>
    </w:p>
    <w:p w14:paraId="5586BA47" w14:textId="0294183C" w:rsidR="00922750" w:rsidRDefault="00922750" w:rsidP="00143FD2">
      <w:r>
        <w:t>Finally, the technology workers indicated a positive, but voluntary desire to stay: "Very positive, if the company offered a little more money, but rigid hours, I would turn it down" (R6). Almost all of these accounts correspond to Meyer and Allen's (1991) separation of affective and continuance commitment. The literature relates high continuance commitment to disengagement and defensive presenteeism, and low affective commitment to lack of loyalty, and this was the case for the nurses and analysts in this study. The affective commitment, however, was displayed by the technology workers, who feel their organisation is genuinely interested in them and they feel the same way about them (Inegbedion, 2024). This is a reciprocal learning pattern and a good management lesson. In the absence of flexibility when it is available, and when it is culturally accepted, it was considered a sign of the organisation caring for the employees beyond the workplace and they responded with loyalty; when flexibility was not in the policy or when it was not openly supported or it was tacitly sanctioned, the implicit agreement was broken and their attachment was reduced (Inegbedion, 2024). The data also reveal the methodological weakness highlighted in the review, a quantitative survey would have registered the nurses and analysts as "retained", but the interviews uncover an at riskness state of being, and a burn-out situation. This theme directly fulfils the third research objective, which was to establish the relationship between an employee's perceived effectiveness of WLB and the type of commitment the employee has, which will consequently link to actual retention.</w:t>
      </w:r>
    </w:p>
    <w:p w14:paraId="23605152" w14:textId="77777777" w:rsidR="00571993" w:rsidRDefault="00237399" w:rsidP="0098366A">
      <w:pPr>
        <w:pStyle w:val="Heading2"/>
      </w:pPr>
      <w:bookmarkStart w:id="48" w:name="_Toc241018064"/>
      <w:r>
        <w:t>4.8 Chapter summary</w:t>
      </w:r>
      <w:bookmarkEnd w:id="48"/>
    </w:p>
    <w:p w14:paraId="0FE6F0B8" w14:textId="7546160C" w:rsidR="00354A4C" w:rsidRDefault="00354A4C" w:rsidP="00143FD2">
      <w:r>
        <w:t xml:space="preserve">The five themes emerging from the 10 cross-sector interviews are presented and discussed in this chapter. Combined, these demonstrate that the effect of WLB policies is more dependent on three interacting conditions - that they are actually accessible, that they are not penalised by the culture, and that core job demands are not so intense that the policies cannot be applied. This is seen in a spectrum in the 4 sectors. The technology firm is a noble example, where availability of resources, norm and commitment to the work environment, along with manageable demands, jointly contributed to protected recovery, high engagement, and </w:t>
      </w:r>
      <w:r>
        <w:lastRenderedPageBreak/>
        <w:t>affective commitment. The opposite is the NHS, where lavish resources were dampened by too many demands, resulting in significant spillover, conditional engagement and a retention maintained only by pension and vocation. The finance sector had a broad policy package that was poorly enforced (presenteeism) and the creative agency had informal flexibility with little protection in reality. In response to the research question, WLB policy has a positive impact on well-being, engagement and retention to the degree that it is culturally accessible and demand containing; if it is not, it is, in the words of one nurse, "lovely words sitting on the internet." The results of this research are used to draw the conclusions and recommendations outlined in the following chapter. There are two points that should be stressed prior to the summary table. First, the cross-sector design did do some serious analytical work because the same policy emerged in various climates, and such data allowed us to uncover the policy effect when we were able to isolate it from the climate and work of the setting. Secondly, the results also have a strong cautionary message about the way organisations interpret these results because the "burnt out" and "semi-detached" nurses and analysts would be counted as "retained" in any employment figure. The points made here will directly relate to the conclusions and recommendations of the following chapter.</w:t>
      </w:r>
    </w:p>
    <w:p w14:paraId="0C45C558" w14:textId="3E8D7CDC" w:rsidR="00AC7F43" w:rsidRDefault="00354A4C" w:rsidP="00143FD2">
      <w:pPr>
        <w:rPr>
          <w:b/>
          <w:bCs/>
        </w:rPr>
      </w:pPr>
      <w:r>
        <w:t>Themes can be helpful to present in tabular form.</w:t>
      </w:r>
    </w:p>
    <w:p w14:paraId="74C24C1A" w14:textId="3B5D297D" w:rsidR="00143FD2" w:rsidRDefault="00143FD2" w:rsidP="00143FD2">
      <w:pPr>
        <w:pStyle w:val="Caption"/>
        <w:keepNext/>
      </w:pPr>
      <w:bookmarkStart w:id="49" w:name="_Toc241018194"/>
      <w:r>
        <w:t xml:space="preserve">Table </w:t>
      </w:r>
      <w:r>
        <w:fldChar w:fldCharType="begin"/>
      </w:r>
      <w:r>
        <w:instrText xml:space="preserve"> SEQ Table \* ARABIC </w:instrText>
      </w:r>
      <w:r>
        <w:fldChar w:fldCharType="separate"/>
      </w:r>
      <w:r>
        <w:rPr>
          <w:noProof/>
        </w:rPr>
        <w:t>2</w:t>
      </w:r>
      <w:r>
        <w:fldChar w:fldCharType="end"/>
      </w:r>
      <w:r>
        <w:t xml:space="preserve"> Summary of themes, constructs, evidence and interpretation</w:t>
      </w:r>
      <w:bookmarkEnd w:id="49"/>
    </w:p>
    <w:tbl>
      <w:tblPr>
        <w:tblW w:w="90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900"/>
        <w:gridCol w:w="1900"/>
        <w:gridCol w:w="2500"/>
        <w:gridCol w:w="2740"/>
      </w:tblGrid>
      <w:tr w:rsidR="00571993" w14:paraId="070607DB" w14:textId="77777777">
        <w:trPr>
          <w:tblHeader/>
        </w:trPr>
        <w:tc>
          <w:tcPr>
            <w:tcW w:w="1900" w:type="dxa"/>
            <w:shd w:val="clear" w:color="auto" w:fill="D9D9D9"/>
            <w:tcMar>
              <w:top w:w="40" w:type="dxa"/>
              <w:left w:w="80" w:type="dxa"/>
              <w:bottom w:w="40" w:type="dxa"/>
              <w:right w:w="80" w:type="dxa"/>
            </w:tcMar>
          </w:tcPr>
          <w:p w14:paraId="6D827313" w14:textId="77777777" w:rsidR="00571993" w:rsidRDefault="00237399" w:rsidP="00143FD2">
            <w:r>
              <w:t>Theme</w:t>
            </w:r>
          </w:p>
        </w:tc>
        <w:tc>
          <w:tcPr>
            <w:tcW w:w="1900" w:type="dxa"/>
            <w:shd w:val="clear" w:color="auto" w:fill="D9D9D9"/>
            <w:tcMar>
              <w:top w:w="40" w:type="dxa"/>
              <w:left w:w="80" w:type="dxa"/>
              <w:bottom w:w="40" w:type="dxa"/>
              <w:right w:w="80" w:type="dxa"/>
            </w:tcMar>
          </w:tcPr>
          <w:p w14:paraId="40858E59" w14:textId="77777777" w:rsidR="00571993" w:rsidRDefault="00237399" w:rsidP="00143FD2">
            <w:r>
              <w:t>Related construct(s)</w:t>
            </w:r>
          </w:p>
        </w:tc>
        <w:tc>
          <w:tcPr>
            <w:tcW w:w="2500" w:type="dxa"/>
            <w:shd w:val="clear" w:color="auto" w:fill="D9D9D9"/>
            <w:tcMar>
              <w:top w:w="40" w:type="dxa"/>
              <w:left w:w="80" w:type="dxa"/>
              <w:bottom w:w="40" w:type="dxa"/>
              <w:right w:w="80" w:type="dxa"/>
            </w:tcMar>
          </w:tcPr>
          <w:p w14:paraId="5EB2BC47" w14:textId="77777777" w:rsidR="00571993" w:rsidRDefault="00237399" w:rsidP="00143FD2">
            <w:r>
              <w:t>Illustrative evidence</w:t>
            </w:r>
          </w:p>
        </w:tc>
        <w:tc>
          <w:tcPr>
            <w:tcW w:w="2740" w:type="dxa"/>
            <w:shd w:val="clear" w:color="auto" w:fill="D9D9D9"/>
            <w:tcMar>
              <w:top w:w="40" w:type="dxa"/>
              <w:left w:w="80" w:type="dxa"/>
              <w:bottom w:w="40" w:type="dxa"/>
              <w:right w:w="80" w:type="dxa"/>
            </w:tcMar>
          </w:tcPr>
          <w:p w14:paraId="09EDE8BB" w14:textId="77777777" w:rsidR="00571993" w:rsidRDefault="00237399" w:rsidP="00143FD2">
            <w:r>
              <w:t>Interpretation (link to literature)</w:t>
            </w:r>
          </w:p>
        </w:tc>
      </w:tr>
      <w:tr w:rsidR="00571993" w14:paraId="37B298E8" w14:textId="77777777">
        <w:tc>
          <w:tcPr>
            <w:tcW w:w="1900" w:type="dxa"/>
            <w:tcMar>
              <w:top w:w="40" w:type="dxa"/>
              <w:left w:w="80" w:type="dxa"/>
              <w:bottom w:w="40" w:type="dxa"/>
              <w:right w:w="80" w:type="dxa"/>
            </w:tcMar>
          </w:tcPr>
          <w:p w14:paraId="0D681FB3" w14:textId="77777777" w:rsidR="00571993" w:rsidRDefault="00237399" w:rsidP="00143FD2">
            <w:r>
              <w:t>1. Policy on paper vs practice</w:t>
            </w:r>
          </w:p>
        </w:tc>
        <w:tc>
          <w:tcPr>
            <w:tcW w:w="1900" w:type="dxa"/>
            <w:tcMar>
              <w:top w:w="40" w:type="dxa"/>
              <w:left w:w="80" w:type="dxa"/>
              <w:bottom w:w="40" w:type="dxa"/>
              <w:right w:w="80" w:type="dxa"/>
            </w:tcMar>
          </w:tcPr>
          <w:p w14:paraId="6E94BFE9" w14:textId="77777777" w:rsidR="00571993" w:rsidRDefault="00237399" w:rsidP="00143FD2">
            <w:r>
              <w:t>WLB resources; job demands</w:t>
            </w:r>
          </w:p>
        </w:tc>
        <w:tc>
          <w:tcPr>
            <w:tcW w:w="2500" w:type="dxa"/>
            <w:tcMar>
              <w:top w:w="40" w:type="dxa"/>
              <w:left w:w="80" w:type="dxa"/>
              <w:bottom w:w="40" w:type="dxa"/>
              <w:right w:w="80" w:type="dxa"/>
            </w:tcMar>
          </w:tcPr>
          <w:p w14:paraId="5B933C16" w14:textId="77777777" w:rsidR="00571993" w:rsidRDefault="00237399" w:rsidP="00143FD2">
            <w:r>
              <w:t>NHS rostering refused when short-staffed; finance right to disconnect "weak in practice"; creative flexibility informal; tech embedded</w:t>
            </w:r>
          </w:p>
        </w:tc>
        <w:tc>
          <w:tcPr>
            <w:tcW w:w="2740" w:type="dxa"/>
            <w:tcMar>
              <w:top w:w="40" w:type="dxa"/>
              <w:left w:w="80" w:type="dxa"/>
              <w:bottom w:w="40" w:type="dxa"/>
              <w:right w:w="80" w:type="dxa"/>
            </w:tcMar>
          </w:tcPr>
          <w:p w14:paraId="3A750E4E" w14:textId="77777777" w:rsidR="00571993" w:rsidRDefault="00237399" w:rsidP="00143FD2">
            <w:r>
              <w:t>Availability is not accessibility; a resource is neutralised when demands are high (Demerouti et al., 2001; Bakker and Demerouti, 2017)</w:t>
            </w:r>
          </w:p>
        </w:tc>
      </w:tr>
      <w:tr w:rsidR="00571993" w14:paraId="7831F0BD" w14:textId="77777777">
        <w:tc>
          <w:tcPr>
            <w:tcW w:w="1900" w:type="dxa"/>
            <w:tcMar>
              <w:top w:w="40" w:type="dxa"/>
              <w:left w:w="80" w:type="dxa"/>
              <w:bottom w:w="40" w:type="dxa"/>
              <w:right w:w="80" w:type="dxa"/>
            </w:tcMar>
          </w:tcPr>
          <w:p w14:paraId="59A0DC90" w14:textId="77777777" w:rsidR="00571993" w:rsidRDefault="00237399" w:rsidP="00143FD2">
            <w:r>
              <w:t>2. The cultural cost of using policies</w:t>
            </w:r>
          </w:p>
        </w:tc>
        <w:tc>
          <w:tcPr>
            <w:tcW w:w="1900" w:type="dxa"/>
            <w:tcMar>
              <w:top w:w="40" w:type="dxa"/>
              <w:left w:w="80" w:type="dxa"/>
              <w:bottom w:w="40" w:type="dxa"/>
              <w:right w:w="80" w:type="dxa"/>
            </w:tcMar>
          </w:tcPr>
          <w:p w14:paraId="0B3A69D1" w14:textId="77777777" w:rsidR="00571993" w:rsidRDefault="00237399" w:rsidP="00143FD2">
            <w:r>
              <w:t>Psychological safety</w:t>
            </w:r>
          </w:p>
        </w:tc>
        <w:tc>
          <w:tcPr>
            <w:tcW w:w="2500" w:type="dxa"/>
            <w:tcMar>
              <w:top w:w="40" w:type="dxa"/>
              <w:left w:w="80" w:type="dxa"/>
              <w:bottom w:w="40" w:type="dxa"/>
              <w:right w:w="80" w:type="dxa"/>
            </w:tcMar>
          </w:tcPr>
          <w:p w14:paraId="5AFA20CF" w14:textId="77777777" w:rsidR="00571993" w:rsidRDefault="00237399" w:rsidP="00143FD2">
            <w:r>
              <w:t>Finance presenteeism; NHS and creative guilt; tech "no stigma at all"</w:t>
            </w:r>
          </w:p>
        </w:tc>
        <w:tc>
          <w:tcPr>
            <w:tcW w:w="2740" w:type="dxa"/>
            <w:tcMar>
              <w:top w:w="40" w:type="dxa"/>
              <w:left w:w="80" w:type="dxa"/>
              <w:bottom w:w="40" w:type="dxa"/>
              <w:right w:w="80" w:type="dxa"/>
            </w:tcMar>
          </w:tcPr>
          <w:p w14:paraId="48C993A5" w14:textId="77777777" w:rsidR="00571993" w:rsidRDefault="00237399" w:rsidP="00143FD2">
            <w:r>
              <w:t xml:space="preserve">Flexibility stigma and the "ideal worker" norm (Williams, Blair-Loy and </w:t>
            </w:r>
            <w:r>
              <w:lastRenderedPageBreak/>
              <w:t>Berdahl, 2013; Munsch, 2016; Kahn, 1990)</w:t>
            </w:r>
          </w:p>
        </w:tc>
      </w:tr>
      <w:tr w:rsidR="00571993" w14:paraId="2E34FAB3" w14:textId="77777777">
        <w:tc>
          <w:tcPr>
            <w:tcW w:w="1900" w:type="dxa"/>
            <w:tcMar>
              <w:top w:w="40" w:type="dxa"/>
              <w:left w:w="80" w:type="dxa"/>
              <w:bottom w:w="40" w:type="dxa"/>
              <w:right w:w="80" w:type="dxa"/>
            </w:tcMar>
          </w:tcPr>
          <w:p w14:paraId="2EED6DA9" w14:textId="77777777" w:rsidR="00571993" w:rsidRDefault="00237399" w:rsidP="00143FD2">
            <w:r>
              <w:lastRenderedPageBreak/>
              <w:t>3. Spillover, exhaustion, protected recovery</w:t>
            </w:r>
          </w:p>
        </w:tc>
        <w:tc>
          <w:tcPr>
            <w:tcW w:w="1900" w:type="dxa"/>
            <w:tcMar>
              <w:top w:w="40" w:type="dxa"/>
              <w:left w:w="80" w:type="dxa"/>
              <w:bottom w:w="40" w:type="dxa"/>
              <w:right w:w="80" w:type="dxa"/>
            </w:tcMar>
          </w:tcPr>
          <w:p w14:paraId="6594AE8E" w14:textId="77777777" w:rsidR="00571993" w:rsidRDefault="00237399" w:rsidP="00143FD2">
            <w:r>
              <w:t>Emotional spillover; recovery</w:t>
            </w:r>
          </w:p>
        </w:tc>
        <w:tc>
          <w:tcPr>
            <w:tcW w:w="2500" w:type="dxa"/>
            <w:tcMar>
              <w:top w:w="40" w:type="dxa"/>
              <w:left w:w="80" w:type="dxa"/>
              <w:bottom w:w="40" w:type="dxa"/>
              <w:right w:w="80" w:type="dxa"/>
            </w:tcMar>
          </w:tcPr>
          <w:p w14:paraId="13F96657" w14:textId="77777777" w:rsidR="00571993" w:rsidRDefault="00237399" w:rsidP="00143FD2">
            <w:r>
              <w:t>Nurses cannot "wind down"; finance always contactable; tech protects recovery</w:t>
            </w:r>
          </w:p>
        </w:tc>
        <w:tc>
          <w:tcPr>
            <w:tcW w:w="2740" w:type="dxa"/>
            <w:tcMar>
              <w:top w:w="40" w:type="dxa"/>
              <w:left w:w="80" w:type="dxa"/>
              <w:bottom w:w="40" w:type="dxa"/>
              <w:right w:w="80" w:type="dxa"/>
            </w:tcMar>
          </w:tcPr>
          <w:p w14:paraId="61D7C888" w14:textId="77777777" w:rsidR="00571993" w:rsidRDefault="00237399" w:rsidP="00143FD2">
            <w:r>
              <w:t>Spillover Theory; autonomy paradox; detachment (Staines, 1980; Mazmanian et al., 2013; Sonnentag and Bayer, 2005)</w:t>
            </w:r>
          </w:p>
        </w:tc>
      </w:tr>
      <w:tr w:rsidR="00571993" w14:paraId="740E680B" w14:textId="77777777">
        <w:tc>
          <w:tcPr>
            <w:tcW w:w="1900" w:type="dxa"/>
            <w:tcMar>
              <w:top w:w="40" w:type="dxa"/>
              <w:left w:w="80" w:type="dxa"/>
              <w:bottom w:w="40" w:type="dxa"/>
              <w:right w:w="80" w:type="dxa"/>
            </w:tcMar>
          </w:tcPr>
          <w:p w14:paraId="41827114" w14:textId="77777777" w:rsidR="00571993" w:rsidRDefault="00237399" w:rsidP="00143FD2">
            <w:r>
              <w:t>4. From "all in" to "just surviving"</w:t>
            </w:r>
          </w:p>
        </w:tc>
        <w:tc>
          <w:tcPr>
            <w:tcW w:w="1900" w:type="dxa"/>
            <w:tcMar>
              <w:top w:w="40" w:type="dxa"/>
              <w:left w:w="80" w:type="dxa"/>
              <w:bottom w:w="40" w:type="dxa"/>
              <w:right w:w="80" w:type="dxa"/>
            </w:tcMar>
          </w:tcPr>
          <w:p w14:paraId="4438F41E" w14:textId="77777777" w:rsidR="00571993" w:rsidRDefault="00237399" w:rsidP="00143FD2">
            <w:r>
              <w:t>Psychological engagement</w:t>
            </w:r>
          </w:p>
        </w:tc>
        <w:tc>
          <w:tcPr>
            <w:tcW w:w="2500" w:type="dxa"/>
            <w:tcMar>
              <w:top w:w="40" w:type="dxa"/>
              <w:left w:w="80" w:type="dxa"/>
              <w:bottom w:w="40" w:type="dxa"/>
              <w:right w:w="80" w:type="dxa"/>
            </w:tcMar>
          </w:tcPr>
          <w:p w14:paraId="57F9F34C" w14:textId="77777777" w:rsidR="00571993" w:rsidRDefault="00237399" w:rsidP="00143FD2">
            <w:r>
              <w:t>Nurses conditional on staffing; finance "checked out"; tech "want to give more"</w:t>
            </w:r>
          </w:p>
        </w:tc>
        <w:tc>
          <w:tcPr>
            <w:tcW w:w="2740" w:type="dxa"/>
            <w:tcMar>
              <w:top w:w="40" w:type="dxa"/>
              <w:left w:w="80" w:type="dxa"/>
              <w:bottom w:w="40" w:type="dxa"/>
              <w:right w:w="80" w:type="dxa"/>
            </w:tcMar>
          </w:tcPr>
          <w:p w14:paraId="2AF780A1" w14:textId="77777777" w:rsidR="00571993" w:rsidRDefault="00237399" w:rsidP="00143FD2">
            <w:r>
              <w:t>Availability is a precondition for engagement (Kahn, 1990; Rich, LePine and Crawford, 2010)</w:t>
            </w:r>
          </w:p>
        </w:tc>
      </w:tr>
      <w:tr w:rsidR="00571993" w14:paraId="6ED77FBE" w14:textId="77777777">
        <w:tc>
          <w:tcPr>
            <w:tcW w:w="1900" w:type="dxa"/>
            <w:tcMar>
              <w:top w:w="40" w:type="dxa"/>
              <w:left w:w="80" w:type="dxa"/>
              <w:bottom w:w="40" w:type="dxa"/>
              <w:right w:w="80" w:type="dxa"/>
            </w:tcMar>
          </w:tcPr>
          <w:p w14:paraId="67BA59BE" w14:textId="77777777" w:rsidR="00571993" w:rsidRDefault="00237399" w:rsidP="00143FD2">
            <w:r>
              <w:t>5. Wanting to stay vs having to stay</w:t>
            </w:r>
          </w:p>
        </w:tc>
        <w:tc>
          <w:tcPr>
            <w:tcW w:w="1900" w:type="dxa"/>
            <w:tcMar>
              <w:top w:w="40" w:type="dxa"/>
              <w:left w:w="80" w:type="dxa"/>
              <w:bottom w:w="40" w:type="dxa"/>
              <w:right w:w="80" w:type="dxa"/>
            </w:tcMar>
          </w:tcPr>
          <w:p w14:paraId="7311AFA7" w14:textId="77777777" w:rsidR="00571993" w:rsidRDefault="00237399" w:rsidP="00143FD2">
            <w:r>
              <w:t>Turnover intention; commitment</w:t>
            </w:r>
          </w:p>
        </w:tc>
        <w:tc>
          <w:tcPr>
            <w:tcW w:w="2500" w:type="dxa"/>
            <w:tcMar>
              <w:top w:w="40" w:type="dxa"/>
              <w:left w:w="80" w:type="dxa"/>
              <w:bottom w:w="40" w:type="dxa"/>
              <w:right w:w="80" w:type="dxa"/>
            </w:tcMar>
          </w:tcPr>
          <w:p w14:paraId="088C8D83" w14:textId="77777777" w:rsidR="00571993" w:rsidRDefault="00237399" w:rsidP="00143FD2">
            <w:r>
              <w:t>Nurses and analysts held by pension/mortgage; tech voluntary</w:t>
            </w:r>
          </w:p>
        </w:tc>
        <w:tc>
          <w:tcPr>
            <w:tcW w:w="2740" w:type="dxa"/>
            <w:tcMar>
              <w:top w:w="40" w:type="dxa"/>
              <w:left w:w="80" w:type="dxa"/>
              <w:bottom w:w="40" w:type="dxa"/>
              <w:right w:w="80" w:type="dxa"/>
            </w:tcMar>
          </w:tcPr>
          <w:p w14:paraId="131D872D" w14:textId="77777777" w:rsidR="00571993" w:rsidRDefault="00237399" w:rsidP="00143FD2">
            <w:r>
              <w:t>Continuance versus affective commitment (Meyer and Allen, 1991; Inegbedion, 2024)</w:t>
            </w:r>
          </w:p>
        </w:tc>
      </w:tr>
    </w:tbl>
    <w:p w14:paraId="5C4C9747" w14:textId="77777777" w:rsidR="00571993" w:rsidRDefault="00571993" w:rsidP="00143FD2"/>
    <w:p w14:paraId="0154775B" w14:textId="77777777" w:rsidR="00571993" w:rsidRDefault="00237399" w:rsidP="00143FD2">
      <w:r>
        <w:br w:type="page"/>
      </w:r>
    </w:p>
    <w:p w14:paraId="20739B81" w14:textId="77777777" w:rsidR="00571993" w:rsidRDefault="00237399" w:rsidP="0098366A">
      <w:pPr>
        <w:pStyle w:val="Heading1"/>
        <w:jc w:val="both"/>
      </w:pPr>
      <w:bookmarkStart w:id="50" w:name="_Toc241018065"/>
      <w:r>
        <w:lastRenderedPageBreak/>
        <w:t>Chapter Five: Conclusions and Recommendations</w:t>
      </w:r>
      <w:bookmarkEnd w:id="50"/>
    </w:p>
    <w:p w14:paraId="0E21553F" w14:textId="77777777" w:rsidR="00571993" w:rsidRDefault="00237399" w:rsidP="0098366A">
      <w:pPr>
        <w:pStyle w:val="Heading2"/>
      </w:pPr>
      <w:bookmarkStart w:id="51" w:name="_Toc241018066"/>
      <w:r>
        <w:t>5.1 Introduction</w:t>
      </w:r>
      <w:bookmarkEnd w:id="51"/>
    </w:p>
    <w:p w14:paraId="00B861A8" w14:textId="1CC8CFBC" w:rsidR="00B37498" w:rsidRDefault="00B37498" w:rsidP="00143FD2">
      <w:r>
        <w:t>This is the conclusion to the study. It restates the aim and then details the conclusions drawn in relation to the four research objectives - how the aim was achieved is evident; it then provides a direct response to the research question. It expands on the contributions to knowledge that the study makes, presents a series of actionable SMART recommendations for managing the research problem in light of the fourth objective, recognises the limitations of the study, and lays out some useful directions for future research. The conclusions and recommendations are firmly rooted throughout in the five themes that have emerged in Chapter Four and the theoretical framework developed in Chapter Two.</w:t>
      </w:r>
    </w:p>
    <w:p w14:paraId="5A6C0264" w14:textId="77777777" w:rsidR="00571993" w:rsidRDefault="00237399" w:rsidP="0098366A">
      <w:pPr>
        <w:pStyle w:val="Heading2"/>
      </w:pPr>
      <w:bookmarkStart w:id="52" w:name="_Toc241018067"/>
      <w:r>
        <w:t>5.2 Conclusions</w:t>
      </w:r>
      <w:bookmarkEnd w:id="52"/>
    </w:p>
    <w:p w14:paraId="63E0C330" w14:textId="57727264" w:rsidR="00B37498" w:rsidRDefault="00B37498" w:rsidP="00143FD2">
      <w:r>
        <w:t>This research sought to examine employees’ perceptions of the impact of WLB policies on their well-being, engagement, and retention across different professional sectors. Ten cross-sector interviews were used to achieve this aim and the findings around the first three objectives are presented below, with the fourth objective, which is to make recommendations, discussed in Section 5.4.</w:t>
      </w:r>
    </w:p>
    <w:p w14:paraId="52BB267B" w14:textId="4D1BAAB8" w:rsidR="00571993" w:rsidRDefault="00237399" w:rsidP="00143FD2">
      <w:r>
        <w:t>*Objective 1: To identify and assess existing WLB policies across sectors*</w:t>
      </w:r>
    </w:p>
    <w:p w14:paraId="2D016340" w14:textId="397144DD" w:rsidR="00B37498" w:rsidRDefault="00B37498" w:rsidP="00143FD2">
      <w:r>
        <w:t xml:space="preserve">The study finds that WLB policies in one form or another are now in place in all sectors studied, but that the reach and shape is highly varied, and that a mere existence of such policies is not a lot to learn from in terms of value. One of the most salient points of Theme 1 ("policy on paper versus policy in practice") is that a policy is not an accessible one. The NHS has a flexible rostering policy on paper, but it was often not actually put into practice when staffing was low; the creative agency had a policy in place but this was not well communicated and included the right to disconnect, which was favoured but not used; the technology agency had a policy in place and communicated it well at induction but was not used by staff; the other agency had no policy at all, only informal favour. Assessing WLB provision so is an assessment of accessibility, not a count of policies. This directly confirms the difference between structural availability and cultural accessibility that was highlighted in the literature review (Putnam et al., 2014), as well as that large-scale change to the nature of work-family conflict (Kelly et al., 2014), and that, while knowledge workers are more structurally flexible, frontline healthcare workers are not (Chung, 2022). The findings from their initial approaches to their entitlements </w:t>
      </w:r>
      <w:r>
        <w:lastRenderedPageBreak/>
        <w:t>confirmed this: the nurses had been first informed about their entitlements informally via the union and via the internet, while finance staff had been informed formally via a portal to the internet, and technology staff had been informed formally during their induction programme with support from their manager. Where communication was not good, there was an additional hurdle for employees as well as the practical hurdle, and the policy was undermined before it could be used.</w:t>
      </w:r>
    </w:p>
    <w:p w14:paraId="142CE45B" w14:textId="496B9AF7" w:rsidR="00571993" w:rsidRDefault="00237399" w:rsidP="00143FD2">
      <w:r>
        <w:t>*Objective 2: To review employees’ experiences of the impact of WLB policies on well-being and engagement*</w:t>
      </w:r>
    </w:p>
    <w:p w14:paraId="7EA7A891" w14:textId="09495187" w:rsidR="00B37498" w:rsidRDefault="00B37498" w:rsidP="00143FD2">
      <w:r>
        <w:t>The study comes to the conclusion that WLB policies are only effective at protecting employees if they help to keep the boundary that allows for authentic recovery intact. For Theme 3, the consequences for the four sectors were very negative, with the nurses unable to "wind down" and become "snappy" with their kids, the finance staff never being able to have a "break" and remain "contactable", and the creative manager "there but not there" at the weekend. The only exception to this was the technology firm, in which case recovery was a protected norm. It brings to bear Spillover Theory's argument that work stress permeates home life (Staines, 1980) and that this is represented by a managed border between the work and home domains (Clark, 2000), and that it illustrates the autonomy paradox in which flexibility and an always-on culture leaves employees permanently bound up in work (Mazmanian, Orlikowski and Yates, 2013). Even a diary study came to that same conclusion regarding work-related smartphone usage (Derks, van Mierlo and Schmitz, 2014). It is the presence or absence of psychological detachment (Sonnentag and Bayer, 2005) and not flexibility that matters.</w:t>
      </w:r>
    </w:p>
    <w:p w14:paraId="53D3AB97" w14:textId="60559909" w:rsidR="00B37498" w:rsidRDefault="00B37498" w:rsidP="00143FD2">
      <w:r>
        <w:t>The study finds that, on engagement, psychological availability required for engagement is consumed as a result of WLB shortfalls. Theme 4 found that when understaffed, nurses go from "above and beyond" to "just surviving" and finance analysts report being "mentally checked out" at busy times, and the technology workers, who are relatively autonomous, would like to "give more." The results support Kahn's (1990) argument, which was that availability is a precondition for engagement, and the JD-R prediction that resources release discretionary effort when not overwhelmed by demands (Bakker and Demerouti, 2017). However, flexibility stigma, linked to the "ideal worker" norm (Williams, Blair-Loy and Berdahl, 2013), was also found as an important barrier to the implementation of policies, with "flexibility" being a cultural cost, added by Theme 2. Experiments show this penalty is realised (Munsch, 2016).</w:t>
      </w:r>
    </w:p>
    <w:p w14:paraId="27198FFF" w14:textId="77777777" w:rsidR="00B37498" w:rsidRDefault="00B37498" w:rsidP="00143FD2"/>
    <w:p w14:paraId="76836FE0" w14:textId="4EDCD9CB" w:rsidR="00571993" w:rsidRDefault="00237399" w:rsidP="00143FD2">
      <w:r>
        <w:lastRenderedPageBreak/>
        <w:t>*Objective 3: To evaluate the relationship between perceived policy effectiveness and intention to stay*</w:t>
      </w:r>
    </w:p>
    <w:p w14:paraId="0EB4C783" w14:textId="600374D8" w:rsidR="0098366A" w:rsidRDefault="00B37498" w:rsidP="00143FD2">
      <w:pPr>
        <w:rPr>
          <w:b/>
          <w:bCs/>
          <w:i/>
          <w:iCs/>
        </w:rPr>
      </w:pPr>
      <w:r>
        <w:t>The amount of perceived WLB effectiveness is highly correlated with the type of commitment that an employee has, as well as actual retention. Theme 5 was an obvious distinction between a desire to stay and a necessity to stay. The nurses and analysts had high continuance and low affective commitment (attachment) (as well as pensions and mortgages and "golden handcuffs") and one of the technology employees had high continuance and low affective commitment. It neatly fits Meyer and Allen's (1991) model and reinforces the idea that accessible, culturally accepted flexibility promotes a reciprocal loyalty, while lack or penalisation of such flexibility undermines the negotiation (</w:t>
      </w:r>
      <w:proofErr w:type="spellStart"/>
      <w:r>
        <w:t>Inegbedion</w:t>
      </w:r>
      <w:proofErr w:type="spellEnd"/>
      <w:r>
        <w:t>, 2024). Primarily, the study validates a methodological gap identified in the review: a survey would show that the burnt-out nurses and analysts are "retained" while they are, in fact, at risk of leaving. The interviews also revealed that for some of the participants, flexibility was the final triggering point. One nurse said she would leave "in a heartbeat" if it were not offered, while it was "the burnout more than the money" that was making her consider leaving. This implies that in the context of a protected work</w:t>
      </w:r>
      <w:r w:rsidRPr="0040037B">
        <w:t>-</w:t>
      </w:r>
      <w:r>
        <w:t>life boundary, retention strategies based on remuneration might be misguided when the initial motivation for leaving a job is an unprotected work</w:t>
      </w:r>
      <w:r w:rsidRPr="0040037B">
        <w:t>-</w:t>
      </w:r>
      <w:r>
        <w:t>life boundary.</w:t>
      </w:r>
    </w:p>
    <w:p w14:paraId="3DF141BA" w14:textId="77777777" w:rsidR="0098366A" w:rsidRDefault="0098366A" w:rsidP="00143FD2">
      <w:pPr>
        <w:rPr>
          <w:b/>
          <w:bCs/>
          <w:i/>
          <w:iCs/>
        </w:rPr>
      </w:pPr>
    </w:p>
    <w:p w14:paraId="49C4AA04" w14:textId="48569DD1" w:rsidR="00571993" w:rsidRDefault="00B37498" w:rsidP="0098366A">
      <w:pPr>
        <w:pStyle w:val="Heading3"/>
        <w:jc w:val="both"/>
      </w:pPr>
      <w:bookmarkStart w:id="53" w:name="_Toc241018068"/>
      <w:r>
        <w:t>Answer to the research question</w:t>
      </w:r>
      <w:bookmarkEnd w:id="53"/>
    </w:p>
    <w:p w14:paraId="18BB2FFA" w14:textId="3F912A8B" w:rsidR="00571993" w:rsidRDefault="00B37498" w:rsidP="00143FD2">
      <w:r>
        <w:t>The results collectively provide a clear response to the research question. The effect of WLB policies on employees' well-being, engagement and retention depends entirely on their cultural accessibility and demand-containment. On their own, their formal presence in the organisation is of little consequence, so long as they are not penalised by the organisation when their workers use them and so long as the core job demands are not so overwhelming that they cannot be accommodated within the policies. Under the two conditions, as in a technology company, the policies resulted in protected recovery, high engagement and affective commitment; as in the NHS, the same policies were found to co-exist with burnout and a safety-related loss of engagement.</w:t>
      </w:r>
    </w:p>
    <w:p w14:paraId="602C3919" w14:textId="77777777" w:rsidR="00571993" w:rsidRDefault="00237399" w:rsidP="0098366A">
      <w:pPr>
        <w:pStyle w:val="Heading2"/>
      </w:pPr>
      <w:bookmarkStart w:id="54" w:name="_Toc241018069"/>
      <w:r>
        <w:t>5.3 Contribution to Knowledge</w:t>
      </w:r>
      <w:bookmarkEnd w:id="54"/>
    </w:p>
    <w:p w14:paraId="00B2EA84" w14:textId="3F19FFC5" w:rsidR="0098366A" w:rsidRDefault="00B37498" w:rsidP="00143FD2">
      <w:r>
        <w:t xml:space="preserve">This study is a small but helpful piece of research to the field of WLB and retention. It supports the argument that WLB policies should be considered a JD-R resource, and that its value </w:t>
      </w:r>
      <w:r>
        <w:lastRenderedPageBreak/>
        <w:t>depends on the demands it faces - a new qualitative data that suggests that it is a neutral resource when demands are too high (e.g., NHS) or when the culture punishes its use (e.g., finance) - rather than a resource in itself. It also connects three theories that are typically applied independently, namely the Spillover Theory, the JD-R model, and Kahn's engagement theory, in a single explanatory continuum from unmanaged demand to drained availability, to disengagement, and to decreased affective commitment as conceptualised by Meyer and Allen (1991).</w:t>
      </w:r>
    </w:p>
    <w:p w14:paraId="02FA2488" w14:textId="77777777" w:rsidR="0098366A" w:rsidRDefault="0098366A" w:rsidP="00143FD2"/>
    <w:p w14:paraId="1A9F74AE" w14:textId="63760A45" w:rsidR="00B37498" w:rsidRDefault="00B37498" w:rsidP="00143FD2">
      <w:r>
        <w:t>In practice, the cross-sector design provides a contribution that is not possible from single-site studies. Four different workplaces are juxtaposed in the study, providing greater analytical transferability of the accessibility-demand mechanism across these strikingly different settings (Lincoln and Guba, 1985). Most practically, however, it helps to identify the person who is still employed but has already gone "trapped but retained", a person who is not yet out but is already disengaged, and therefore at risk, who quantitative retention metrics will classify as a success. The study's most obvious contribution to knowledge is surfacing this distinction, which has a direct warning for how organisations read their own retention data. Last, the study offers a warning regarding the autonomy paradox: it shows that the same flexibility can be a good thing in one context, and a bad thing in another, depending on whether the organisation sets a boundary around it. This further supports the notion that flexibility does not have to be assumed to be a desirable quality and should be researched by the lived experiences of those who use it (Mazmanian, Orlikowski and Yates, 2013).</w:t>
      </w:r>
    </w:p>
    <w:p w14:paraId="23E042BB" w14:textId="77777777" w:rsidR="00571993" w:rsidRDefault="00237399" w:rsidP="0098366A">
      <w:pPr>
        <w:pStyle w:val="Heading2"/>
      </w:pPr>
      <w:bookmarkStart w:id="55" w:name="_Toc241018070"/>
      <w:r>
        <w:t>5.4 Recommendations for Management Practice</w:t>
      </w:r>
      <w:bookmarkEnd w:id="55"/>
    </w:p>
    <w:p w14:paraId="45571C46" w14:textId="2EE0BC20" w:rsidR="00B37498" w:rsidRDefault="00B37498" w:rsidP="00143FD2">
      <w:r>
        <w:t>A set of evidence-based recommendations follows from the findings for the fourth objective. All are as specific, measurable, achievable, relevant and time-based (SMART) as is possible based on evidence.</w:t>
      </w:r>
    </w:p>
    <w:p w14:paraId="029DE19B" w14:textId="2F616CEC" w:rsidR="00571993" w:rsidRDefault="00237399" w:rsidP="00143FD2">
      <w:pPr>
        <w:pStyle w:val="ListParagraph"/>
        <w:numPr>
          <w:ilvl w:val="0"/>
          <w:numId w:val="5"/>
        </w:numPr>
        <w:spacing w:after="120" w:line="360" w:lineRule="auto"/>
        <w:jc w:val="both"/>
      </w:pPr>
      <w:r>
        <w:rPr>
          <w:b/>
          <w:bCs/>
        </w:rPr>
        <w:t>Protect recovery with an enforced right to disconnect.</w:t>
      </w:r>
      <w:r>
        <w:t xml:space="preserve"> There should be a written right to disconnect standard for organisations, particularly in the finance and creative industries which establishes clear no-contact hours and is monitored via quarterly staff pulse surveys, with a target of a measurable decrease in the volume of out-of-hours contact within 12 months. The results demonstrate that flexibility without a protected </w:t>
      </w:r>
      <w:r>
        <w:lastRenderedPageBreak/>
        <w:t>boundary results in being "tethered," which has a negative effect on recovery (Sonnentag and Bayer, 2005).</w:t>
      </w:r>
    </w:p>
    <w:p w14:paraId="7DE4BC2A" w14:textId="3E34E0F3" w:rsidR="00571993" w:rsidRDefault="00237399" w:rsidP="00143FD2">
      <w:pPr>
        <w:pStyle w:val="ListParagraph"/>
        <w:numPr>
          <w:ilvl w:val="0"/>
          <w:numId w:val="5"/>
        </w:numPr>
        <w:spacing w:after="120" w:line="360" w:lineRule="auto"/>
        <w:jc w:val="both"/>
      </w:pPr>
      <w:r>
        <w:rPr>
          <w:b/>
          <w:bCs/>
        </w:rPr>
        <w:t>Tackle presenteeism by having managers model flexible working.</w:t>
      </w:r>
      <w:r>
        <w:t xml:space="preserve"> Managers in cultures that are strongly associated with presenteeism should not be hesitant to visibly implement WLB arrangements and also refrain from giving long hours bonuses to their senior staff. Progress can be monitored by adding a target for a year-on-year improvement, and adding a "safe to use flexibility" item in the annual engagement survey. This can help with the flexibility stigma and Kahn's (1990) state of psychological safety.</w:t>
      </w:r>
    </w:p>
    <w:p w14:paraId="4B1394B1" w14:textId="479C7359" w:rsidR="00571993" w:rsidRDefault="00237399" w:rsidP="00143FD2">
      <w:pPr>
        <w:pStyle w:val="ListParagraph"/>
        <w:numPr>
          <w:ilvl w:val="0"/>
          <w:numId w:val="5"/>
        </w:numPr>
        <w:spacing w:after="120" w:line="360" w:lineRule="auto"/>
        <w:jc w:val="both"/>
      </w:pPr>
      <w:r>
        <w:rPr>
          <w:b/>
          <w:bCs/>
        </w:rPr>
        <w:t>Contain job demands before adding resources.</w:t>
      </w:r>
      <w:r>
        <w:t xml:space="preserve"> The NHS case demonstrates that a flexible rostering resource is a waste of time where there is chronic understaffing. Organisations that have established safe-staffing levels should ensure those levels are implemented and monitored by them, and that the approved leave and rest days are kept, and review the refusal rates quarterly, to allow existing policies to work (Bakker and Demerouti, 2017).</w:t>
      </w:r>
    </w:p>
    <w:p w14:paraId="493C1767" w14:textId="72C77AE7" w:rsidR="00571993" w:rsidRDefault="00237399" w:rsidP="00143FD2">
      <w:pPr>
        <w:pStyle w:val="ListParagraph"/>
        <w:numPr>
          <w:ilvl w:val="0"/>
          <w:numId w:val="5"/>
        </w:numPr>
        <w:spacing w:after="120" w:line="360" w:lineRule="auto"/>
        <w:jc w:val="both"/>
      </w:pPr>
      <w:r>
        <w:rPr>
          <w:b/>
          <w:bCs/>
        </w:rPr>
        <w:t>Formalise informal flexibility.</w:t>
      </w:r>
      <w:r>
        <w:t xml:space="preserve"> The flexibility of the creative agency was based on favour and seemed arbitrary and did not provide adequately for protection. Where informal arrangements are being used, smaller organisations should formalise this into a short written WLB policy communicated to all members of staff within one review cycle, thus ensuring that entitlements are clear, fair and consistent, and not reliant on individual goodwill.</w:t>
      </w:r>
    </w:p>
    <w:p w14:paraId="215AA0BD" w14:textId="0B23E82E" w:rsidR="00571993" w:rsidRDefault="00237399" w:rsidP="00143FD2">
      <w:pPr>
        <w:pStyle w:val="ListParagraph"/>
        <w:numPr>
          <w:ilvl w:val="0"/>
          <w:numId w:val="5"/>
        </w:numPr>
        <w:spacing w:after="120" w:line="360" w:lineRule="auto"/>
        <w:jc w:val="both"/>
      </w:pPr>
      <w:r>
        <w:rPr>
          <w:b/>
          <w:bCs/>
        </w:rPr>
        <w:t>Communicate policies clearly and consistently.</w:t>
      </w:r>
      <w:r>
        <w:t xml:space="preserve"> As nurses would only discover their rights via unions and the web, it is imperative that all organisations make sure that WLB policies are communicated at induction and published in an accessible handbook where all new starters can find the policy within their first month. The first step to a policy that is useful is that it must be communicated.</w:t>
      </w:r>
    </w:p>
    <w:p w14:paraId="2CD52FBA" w14:textId="07271952" w:rsidR="00571993" w:rsidRDefault="00237399" w:rsidP="00143FD2">
      <w:pPr>
        <w:pStyle w:val="ListParagraph"/>
        <w:numPr>
          <w:ilvl w:val="0"/>
          <w:numId w:val="5"/>
        </w:numPr>
        <w:spacing w:after="120" w:line="360" w:lineRule="auto"/>
        <w:jc w:val="both"/>
      </w:pPr>
      <w:r>
        <w:rPr>
          <w:b/>
          <w:bCs/>
        </w:rPr>
        <w:t>Reframe retention around affective, not continuance, commitment.</w:t>
      </w:r>
      <w:r>
        <w:t xml:space="preserve"> Managers need to not just take a low headline turnover figure as a measure of success, but also measure engagement and well-being, with short yearly interviews or focus groups to find out if staff are ‘trapped but retained'. It is intended that costly entrapment be replaced with real attachment, that is, that WLB support be evident in success (Meyer and Allen, </w:t>
      </w:r>
      <w:r>
        <w:lastRenderedPageBreak/>
        <w:t>1991). More recent evidence indicates that WLB support contributes to this commitment when it increases job satisfaction (Inegbedion, 2024).</w:t>
      </w:r>
    </w:p>
    <w:p w14:paraId="521AD676" w14:textId="77777777" w:rsidR="00B37498" w:rsidRDefault="00B37498" w:rsidP="0098366A">
      <w:pPr>
        <w:pStyle w:val="Heading2"/>
      </w:pPr>
    </w:p>
    <w:p w14:paraId="0994CDD6" w14:textId="226D31C3" w:rsidR="00571993" w:rsidRDefault="00237399" w:rsidP="0098366A">
      <w:pPr>
        <w:pStyle w:val="Heading2"/>
      </w:pPr>
      <w:bookmarkStart w:id="56" w:name="_Toc241018071"/>
      <w:r>
        <w:t>5.5 Limitations of the Study</w:t>
      </w:r>
      <w:bookmarkEnd w:id="56"/>
    </w:p>
    <w:p w14:paraId="3F952739" w14:textId="58020076" w:rsidR="0098366A" w:rsidRDefault="00B37498" w:rsidP="00143FD2">
      <w:pPr>
        <w:rPr>
          <w:b/>
          <w:bCs/>
        </w:rPr>
      </w:pPr>
      <w:r>
        <w:t xml:space="preserve">There are several limitations to the conclusions that should be considered when reading the article, the majority of which arose from the design selected. It was small and purposive </w:t>
      </w:r>
      <w:r w:rsidRPr="0040037B">
        <w:t>-</w:t>
      </w:r>
      <w:r>
        <w:t xml:space="preserve"> ten professionals across four sectors do not provide a statistically generalisable picture of all workplaces, therefore the findings are only analytic rather than statistical generalisation (Saunders, Lewis and Thornhill, 2023). Second, recruitment via professional/institutional connections may have led to self-selection bias as those who volunteered may have had stronger opinions about WLB than those who did not. Thirdly, the study was cross-sectional, which meant that the perceptions were only gathered at one point in time, so that it was not possible to determine how views change as policies or individual situations change. Fourth, reflexive thematic analysis (Braun and Clarke, 2022) is a process dependent on the researcher's interpretation, and there is a risk of interpretive bias which was dealt with by reflexivity and by a transparent six-phase process, but cannot be eradicated. These are the hallmarks of small-scale qualitative research and are not a detriment to the depth of understanding that the study offers.</w:t>
      </w:r>
    </w:p>
    <w:p w14:paraId="40B72A44" w14:textId="77777777" w:rsidR="0098366A" w:rsidRDefault="0098366A" w:rsidP="0098366A">
      <w:pPr>
        <w:pStyle w:val="Heading2"/>
      </w:pPr>
    </w:p>
    <w:p w14:paraId="75236C3C" w14:textId="580E8953" w:rsidR="00571993" w:rsidRDefault="00B37498" w:rsidP="0098366A">
      <w:pPr>
        <w:pStyle w:val="Heading2"/>
      </w:pPr>
      <w:bookmarkStart w:id="57" w:name="_Toc241018072"/>
      <w:r>
        <w:t>5.6 Directions for Future Research</w:t>
      </w:r>
      <w:bookmarkEnd w:id="57"/>
    </w:p>
    <w:p w14:paraId="6D591745" w14:textId="5FD8949E" w:rsidR="0098366A" w:rsidRDefault="00B37498" w:rsidP="00143FD2">
      <w:pPr>
        <w:rPr>
          <w:b/>
          <w:bCs/>
        </w:rPr>
      </w:pPr>
      <w:r>
        <w:t>The restrictions suggest some promising avenues for future exploration. First, as the researcher observed while conducting the analysis, the focus groups would be a useful complement to the individual interviews, as the cultural (shared, collective) aspect of presenteeism and stigma could be explored in group discussion as well as in individual interview. Secondly, a longitudinal study that tracked the same employees over 1-2 years would help answer questions about the extent to which the “trapped but retained” employees eventually leave, and whether improvements in accessibility over time affect that commitment. Third, a larger scale (mixed-methods) study could further test the accessibility</w:t>
      </w:r>
      <w:r w:rsidRPr="0040037B">
        <w:t>-</w:t>
      </w:r>
      <w:r>
        <w:t xml:space="preserve">demand mechanism found here on a broader range of respondents by developing a survey based on the qualitative themes found in this study that separates affective from continuance commitment. Finally, further single-sector work, especially in the NHS which this research confirmed is a hotspot for demand, should explore </w:t>
      </w:r>
      <w:r>
        <w:lastRenderedPageBreak/>
        <w:t>the interaction of safe staffing and rostering reforms with WLB policy, taking into account the research findings of risks to patient safety.</w:t>
      </w:r>
    </w:p>
    <w:p w14:paraId="32364094" w14:textId="77777777" w:rsidR="0098366A" w:rsidRDefault="0098366A" w:rsidP="0098366A">
      <w:pPr>
        <w:pStyle w:val="Heading2"/>
      </w:pPr>
    </w:p>
    <w:p w14:paraId="689D6B81" w14:textId="0DDEAA41" w:rsidR="00571993" w:rsidRDefault="00B37498" w:rsidP="0098366A">
      <w:pPr>
        <w:pStyle w:val="Heading2"/>
      </w:pPr>
      <w:bookmarkStart w:id="58" w:name="_Toc241018073"/>
      <w:r>
        <w:t>5.7 Concluding Remarks</w:t>
      </w:r>
      <w:bookmarkEnd w:id="58"/>
    </w:p>
    <w:p w14:paraId="70D0DB31" w14:textId="798C4899" w:rsidR="00571993" w:rsidRDefault="00B37498" w:rsidP="00143FD2">
      <w:r>
        <w:t>This study aimed to find out not if WLB policies were present, but if they are effective and for whom. The thrust of its message is that a policy is no better than an employee's ability to implement it without penalty in a reasonable workload. Formal provision is beginning, not the end result. It is a practice that can be lived and protected and endorsed by the culture, and can lead to real engagement and loyalty; it is a document to be published and handed out, and will only continue to produce more burnt-out, disengaged staff who stay because it costs more to leave the organisation. The most important practical result of this research is to identify the difference between these two outcomes, and to not confuse the first with the second.</w:t>
      </w:r>
      <w:r>
        <w:br w:type="page"/>
      </w:r>
    </w:p>
    <w:p w14:paraId="1775E8CE" w14:textId="77777777" w:rsidR="00571993" w:rsidRDefault="00237399" w:rsidP="0098366A">
      <w:pPr>
        <w:pStyle w:val="Heading1"/>
        <w:jc w:val="both"/>
      </w:pPr>
      <w:bookmarkStart w:id="59" w:name="_Toc241018074"/>
      <w:r>
        <w:lastRenderedPageBreak/>
        <w:t>References</w:t>
      </w:r>
      <w:bookmarkEnd w:id="59"/>
    </w:p>
    <w:p w14:paraId="2170E002" w14:textId="3DA424A5" w:rsidR="00571993" w:rsidRDefault="00237399" w:rsidP="00143FD2">
      <w:r>
        <w:t>Allen, T.D., Golden, T.D. and Shockley, K.M. (2015) 'How effective is telecommuting? Assessing the status of our scientific findings', Psychological Science in the Public Interest, 16(2), pp. 40-68.</w:t>
      </w:r>
    </w:p>
    <w:p w14:paraId="024E76E9" w14:textId="67E4FD95" w:rsidR="00571993" w:rsidRDefault="00237399" w:rsidP="00143FD2">
      <w:r>
        <w:t>Allen, T.D., Johnson, R.C., Kiburz, K.M. and Shockley, K.M. (2013) 'Work-family conflict and flexible work arrangements: Deconstructing flexibility', Personnel Psychology, 66(2), pp. 345-376.</w:t>
      </w:r>
    </w:p>
    <w:p w14:paraId="17347561" w14:textId="17A1F295" w:rsidR="00571993" w:rsidRDefault="00237399" w:rsidP="00143FD2">
      <w:r>
        <w:t>Bakker, A.B. and de Vries, J.D. (2021) 'Job demands-resources theory and self-regulation: New explanations and remedies for job burnout', Anxiety, Stress &amp; Coping, 34(1), pp. 1-21.</w:t>
      </w:r>
    </w:p>
    <w:p w14:paraId="5287CE93" w14:textId="583F5BE2" w:rsidR="00571993" w:rsidRDefault="00237399" w:rsidP="00143FD2">
      <w:r>
        <w:t>Bakker, A.B. and Demerouti, E. (2007) 'The job demands-resources model: State of the art', Journal of Managerial Psychology, 22(3), pp. 309-328.</w:t>
      </w:r>
    </w:p>
    <w:p w14:paraId="3F0CC10F" w14:textId="7C0B4372" w:rsidR="00571993" w:rsidRDefault="00237399" w:rsidP="00143FD2">
      <w:r>
        <w:t>Bakker, A.B. and Demerouti, E. (2017) 'Job demands-resources theory: Taking stock and looking forward', Journal of Occupational Health Psychology, 22(3), pp. 273-285.</w:t>
      </w:r>
    </w:p>
    <w:p w14:paraId="67572640" w14:textId="1F78CFF9" w:rsidR="00571993" w:rsidRDefault="00237399" w:rsidP="00143FD2">
      <w:r>
        <w:t>Bakker, A.B., Demerouti, E. and Euwema, M.C. (2005) 'Job resources buffer the impact of job demands on burnout', Journal of Occupational Health Psychology, 10(2), pp. 170-180.</w:t>
      </w:r>
    </w:p>
    <w:p w14:paraId="1563623C" w14:textId="4083E01C" w:rsidR="00571993" w:rsidRDefault="00237399" w:rsidP="00143FD2">
      <w:r>
        <w:t>Bakker, A.B., Demerouti, E. and Sanz-Vergel, A. (2023) 'Job demands-resources theory: Ten years later', Annual Review of Organizational Psychology and Organizational Behavior, 10, pp. 25-53.</w:t>
      </w:r>
    </w:p>
    <w:p w14:paraId="20BC4A60" w14:textId="1A08D6C0" w:rsidR="00571993" w:rsidRDefault="00237399" w:rsidP="00143FD2">
      <w:r>
        <w:t>Beauregard, T.A. and Henry, L.C. (2009) 'Making the link between work-life balance practices and organizational performance', Human Resource Management Review, 19(1), pp. 9-22.</w:t>
      </w:r>
    </w:p>
    <w:p w14:paraId="727E0FA7" w14:textId="77777777" w:rsidR="00571993" w:rsidRDefault="00237399" w:rsidP="00143FD2">
      <w:r>
        <w:t>Beckel, J.L.O. and Fisher, G.G. (2022) 'Telework and worker health and well-being: A review and recommendations for research and practice', International Journal of Environmental Research and Public Health, 19(7), 3879.</w:t>
      </w:r>
    </w:p>
    <w:p w14:paraId="692B5E25" w14:textId="77777777" w:rsidR="00571993" w:rsidRDefault="00237399" w:rsidP="00143FD2">
      <w:r>
        <w:t>Berberoglu, A. (2018) 'Impact of organizational climate on organizational commitment and perceived organizational performance: empirical evidence from public hospitals', BMC Health Services Research, 18, 399.</w:t>
      </w:r>
    </w:p>
    <w:p w14:paraId="3FC7A19C" w14:textId="437A6D30" w:rsidR="00571993" w:rsidRDefault="00237399" w:rsidP="00143FD2">
      <w:r>
        <w:t>Bloom, N., Liang, J., Roberts, J. and Ying, Z.J. (2015) 'Does working from home work? Evidence from a Chinese experiment', The Quarterly Journal of Economics, 130(1), pp. 165-218.</w:t>
      </w:r>
    </w:p>
    <w:p w14:paraId="688FB449" w14:textId="1CF8B9B1" w:rsidR="00571993" w:rsidRDefault="00237399" w:rsidP="00143FD2">
      <w:r>
        <w:lastRenderedPageBreak/>
        <w:t>Braun, V. and Clarke, V. (2006) 'Using thematic analysis in psychology', Qualitative Research in Psychology, 3(2), pp. 77-101.</w:t>
      </w:r>
    </w:p>
    <w:p w14:paraId="6C0453D2" w14:textId="311221BA" w:rsidR="00571993" w:rsidRDefault="00237399" w:rsidP="00143FD2">
      <w:r>
        <w:t>Braun, V. and Clarke, V. (2021a) 'One size fits all? What counts as quality practice in (reflexive) thematic analysis?', Qualitative Research in Psychology, 18(3), pp. 328-352.</w:t>
      </w:r>
    </w:p>
    <w:p w14:paraId="7D10906D" w14:textId="09B51153" w:rsidR="00571993" w:rsidRDefault="00237399" w:rsidP="00143FD2">
      <w:r>
        <w:t>Braun, V. and Clarke, V. (2021b) 'To saturate or not to saturate? Questioning data saturation as a useful concept for thematic analysis and sample-size rationales', Qualitative Research in Sport, Exercise and Health, 13(2), pp. 201-216.</w:t>
      </w:r>
    </w:p>
    <w:p w14:paraId="7F81B096" w14:textId="77777777" w:rsidR="00571993" w:rsidRDefault="00237399" w:rsidP="00143FD2">
      <w:r>
        <w:t>Braun, V. and Clarke, V. (2022) Thematic Analysis: A Practical Guide. London: SAGE.</w:t>
      </w:r>
    </w:p>
    <w:p w14:paraId="2D606899" w14:textId="77777777" w:rsidR="00571993" w:rsidRDefault="00237399" w:rsidP="00143FD2">
      <w:r>
        <w:t>Buchan, J., Charlesworth, A., Gershlick, B. and Seccombe, I. (2019) A Critical Moment: NHS Staffing Trends, Retention and Attrition. London: The Health Foundation.</w:t>
      </w:r>
    </w:p>
    <w:p w14:paraId="66998408" w14:textId="2AFEF8DA" w:rsidR="00571993" w:rsidRDefault="00237399" w:rsidP="00143FD2">
      <w:r>
        <w:t>Byrne, D. (2022) 'A worked example of Braun and Clarke's approach to reflexive thematic analysis', Quality &amp; Quantity, 56(3), pp. 1391-1412.</w:t>
      </w:r>
    </w:p>
    <w:p w14:paraId="2A6B0791" w14:textId="3F543C59" w:rsidR="00571993" w:rsidRDefault="00237399" w:rsidP="00143FD2">
      <w:r>
        <w:t>Campbell, S., Greenwood, M., Prior, S., Shearer, T., Walkem, K., Young, S., Bywaters, D. and Walker, K. (2020) 'Purposive sampling: Complex or simple? Research case examples', Journal of Research in Nursing, 25(8), pp. 652-661.</w:t>
      </w:r>
    </w:p>
    <w:p w14:paraId="670E054A" w14:textId="02ECA3C2" w:rsidR="00571993" w:rsidRDefault="00237399" w:rsidP="00143FD2">
      <w:r>
        <w:t>Charalampous, M., Grant, C.A., Tramontano, C. and Michailidis, E. (2019) 'Systematically reviewing remote e-workers' well-being at work: A multidimensional approach', European Journal of Work and Organizational Psychology, 28(1), pp. 51-73.</w:t>
      </w:r>
    </w:p>
    <w:p w14:paraId="1FEDC9E4" w14:textId="77777777" w:rsidR="00571993" w:rsidRDefault="00237399" w:rsidP="00143FD2">
      <w:r>
        <w:t>Chartered Institute of Personnel and Development (2023) Flexible and Hybrid Working Practices in 2023. London: CIPD.</w:t>
      </w:r>
    </w:p>
    <w:p w14:paraId="0066F9C9" w14:textId="4801625C" w:rsidR="00571993" w:rsidRDefault="00237399" w:rsidP="00143FD2">
      <w:r>
        <w:t>Chung, H. (2020) 'Gender, flexibility stigma and the perceived negative consequences of flexible working in the UK', Social Indicators Research, 151(2), pp. 521-545.</w:t>
      </w:r>
    </w:p>
    <w:p w14:paraId="09895237" w14:textId="77777777" w:rsidR="00571993" w:rsidRDefault="00237399" w:rsidP="00143FD2">
      <w:r>
        <w:t>Chung, H. (2022) The Flexibility Paradox: Why Flexible Working Leads to (Self-)Exploitation. Bristol: Policy Press.</w:t>
      </w:r>
    </w:p>
    <w:p w14:paraId="7423B250" w14:textId="15C4B53D" w:rsidR="00571993" w:rsidRDefault="00237399" w:rsidP="00143FD2">
      <w:r>
        <w:t>Chung, H. and van der Horst, M. (2018) 'Women's employment patterns after childbirth and the perceived access to and use of flexitime and teleworking', Human Relations, 71(1), pp. 47-72.</w:t>
      </w:r>
    </w:p>
    <w:p w14:paraId="187CA755" w14:textId="0B64FEA6" w:rsidR="00571993" w:rsidRDefault="00237399" w:rsidP="00143FD2">
      <w:r>
        <w:lastRenderedPageBreak/>
        <w:t>Chung, H. and van der Horst, M. (2020) 'Flexible working and unpaid overtime in the UK: The role of gender, parental and occupational status', Social Indicators Research, 151(2), pp. 495-520.</w:t>
      </w:r>
    </w:p>
    <w:p w14:paraId="012C3163" w14:textId="11F2C29F" w:rsidR="00571993" w:rsidRDefault="00237399" w:rsidP="00143FD2">
      <w:r>
        <w:t>Chung, H. and van der Lippe, T. (2020) 'Flexible working, work-life balance, and gender equality: Introduction', Social Indicators Research, 151(2), pp. 365-381.</w:t>
      </w:r>
    </w:p>
    <w:p w14:paraId="176F5DB6" w14:textId="73084985" w:rsidR="00571993" w:rsidRDefault="00237399" w:rsidP="00143FD2">
      <w:r>
        <w:t>Clark, S.C. (2000) 'Work/family border theory: A new theory of work/family balance', Human Relations, 53(6), pp. 747-770.</w:t>
      </w:r>
    </w:p>
    <w:p w14:paraId="266AD22E" w14:textId="3B877877" w:rsidR="00571993" w:rsidRDefault="00237399" w:rsidP="00143FD2">
      <w:r>
        <w:t>Cole, M.S., Walter, F., Bedeian, A.G. and O'Boyle, E.H. (2012) 'Job burnout and employee engagement: A meta-analytic examination of construct proliferation', Journal of Management, 38(5), pp. 1550-1581.</w:t>
      </w:r>
    </w:p>
    <w:p w14:paraId="6B0E037D" w14:textId="77777777" w:rsidR="00571993" w:rsidRDefault="00237399" w:rsidP="00143FD2">
      <w:r>
        <w:t>Contreras, F., Baykal, E. and Abid, G. (2020) 'E-leadership and teleworking in times of COVID-19 and beyond: What we know and where do we go', Frontiers in Psychology, 11, 590271.</w:t>
      </w:r>
    </w:p>
    <w:p w14:paraId="13A8D3A1" w14:textId="77777777" w:rsidR="00571993" w:rsidRDefault="00237399" w:rsidP="00143FD2">
      <w:r>
        <w:t>Creswell, J.W. and Creswell, J.D. (2018) Research Design: Qualitative, Quantitative, and Mixed Methods Approaches. 5th edn. Los Angeles: SAGE.</w:t>
      </w:r>
    </w:p>
    <w:p w14:paraId="4ECB7113" w14:textId="77777777" w:rsidR="00571993" w:rsidRDefault="00237399" w:rsidP="00143FD2">
      <w:r>
        <w:t>Crotty, M. (1998) The Foundations of Social Research: Meaning and Perspective in the Research Process. London: SAGE.</w:t>
      </w:r>
    </w:p>
    <w:p w14:paraId="6DBDB879" w14:textId="77777777" w:rsidR="00571993" w:rsidRDefault="00237399" w:rsidP="00143FD2">
      <w:r>
        <w:t>Dall'Ora, C., Ball, J., Reinius, M. and Griffiths, P. (2020) 'Burnout in nursing: A theoretical review', Human Resources for Health, 18(1), 41.</w:t>
      </w:r>
    </w:p>
    <w:p w14:paraId="225ADA3E" w14:textId="77777777" w:rsidR="00571993" w:rsidRDefault="00237399" w:rsidP="00143FD2">
      <w:r>
        <w:t>Dall'Ora, C., Griffiths, P., Ball, J., Simon, M. and Aiken, L.H. (2015) 'Association of 12 h shifts and nurses' job satisfaction, burnout and intention to leave: Findings from a cross-sectional study of 12 European countries', BMJ Open, 5(9), e008331.</w:t>
      </w:r>
    </w:p>
    <w:p w14:paraId="12733FBD" w14:textId="6F90943D" w:rsidR="00571993" w:rsidRDefault="00237399" w:rsidP="00143FD2">
      <w:r>
        <w:t>Demerouti, E., Bakker, A.B., Nachreiner, F. and Schaufeli, W.B. (2001) 'The job demands-resources model of burnout', Journal of Applied Psychology, 86(3), pp. 499-512.</w:t>
      </w:r>
    </w:p>
    <w:p w14:paraId="6A60E683" w14:textId="7D3D69D7" w:rsidR="00571993" w:rsidRDefault="00237399" w:rsidP="00143FD2">
      <w:r>
        <w:t>Derks, D., van Mierlo, H. and Schmitz, E.B. (2014) 'A diary study on work-related smartphone use, psychological detachment and exhaustion: Examining the role of the perceived segmentation norm', Journal of Occupational Health Psychology, 19(1), pp. 74-84.</w:t>
      </w:r>
    </w:p>
    <w:p w14:paraId="227819EA" w14:textId="77777777" w:rsidR="00571993" w:rsidRDefault="00237399" w:rsidP="00143FD2">
      <w:r>
        <w:t>Dobbins, T. (2021) Flexible Working: Remote and Hybrid Work. Commons Library Research Briefing CBP-9391. London: House of Commons Library.</w:t>
      </w:r>
    </w:p>
    <w:p w14:paraId="7486F62E" w14:textId="77777777" w:rsidR="00571993" w:rsidRDefault="00237399" w:rsidP="00143FD2">
      <w:r>
        <w:lastRenderedPageBreak/>
        <w:t>Employment Relations (Flexible Working) Act 2023, c. 30. Available at: https://www.legislation.gov.uk/ukpga/2023/30 (Accessed: 9 September 2026).</w:t>
      </w:r>
    </w:p>
    <w:p w14:paraId="789F2A2F" w14:textId="355B7CF6" w:rsidR="00571993" w:rsidRDefault="00237399" w:rsidP="00143FD2">
      <w:r>
        <w:t>Felstead, A. and Henseke, G. (2017) 'Assessing the growth of remote working and its consequences for effort, well-being and work-life balance', New Technology, Work and Employment, 32(3), pp. 195-212.</w:t>
      </w:r>
    </w:p>
    <w:p w14:paraId="0D224770" w14:textId="77777777" w:rsidR="00571993" w:rsidRDefault="00237399" w:rsidP="00143FD2">
      <w:r>
        <w:t>Felstead, A. and Reuschke, D. (2020) Homeworking in the UK: Before and During the 2020 Lockdown. WISERD Report. Cardiff: Wales Institute of Social and Economic Research.</w:t>
      </w:r>
    </w:p>
    <w:p w14:paraId="771B38A0" w14:textId="77777777" w:rsidR="00571993" w:rsidRDefault="00237399" w:rsidP="00143FD2">
      <w:r>
        <w:t>Ferrara, B., Pansini, M., De Vincenzi, C., Buonomo, I. and Benevene, P. (2022) 'Investigating the role of remote working on employees' performance and well-being: An evidence-based systematic review', International Journal of Environmental Research and Public Health, 19(19), 12373.</w:t>
      </w:r>
    </w:p>
    <w:p w14:paraId="6A584104" w14:textId="4C7E6A2A" w:rsidR="00571993" w:rsidRDefault="00237399" w:rsidP="00143FD2">
      <w:r>
        <w:t>Gajendran, R.S. and Harrison, D.A. (2007) 'The good, the bad, and the unknown about telecommuting: Meta-analysis of psychological mediators and individual consequences', Journal of Applied Psychology, 92(6), pp. 1524-1541.</w:t>
      </w:r>
    </w:p>
    <w:p w14:paraId="56C33010" w14:textId="77777777" w:rsidR="00571993" w:rsidRDefault="00237399" w:rsidP="00143FD2">
      <w:r>
        <w:t>Galanis, P., Moisoglou, I., Papathanasiou, I.V., Malliarou, M., Katsiroumpa, A., Vraka, I., Siskou, O., Konstantakopoulou, O. and Kaitelidou, D. (2024) 'Association between organizational support and turnover intention in nurses: A systematic review and meta-analysis', Healthcare, 12(3), 291.</w:t>
      </w:r>
    </w:p>
    <w:p w14:paraId="1917A816" w14:textId="42599801" w:rsidR="00571993" w:rsidRDefault="00237399" w:rsidP="00143FD2">
      <w:r>
        <w:t>Galanti, T., Guidetti, G., Mazzei, E., Zappalà, S. and Toscano, F. (2021) 'Work from home during the COVID-19 outbreak: The impact on employees' remote work productivity, engagement, and stress', Journal of Occupational and Environmental Medicine, 63(7), pp. e426-e432.</w:t>
      </w:r>
    </w:p>
    <w:p w14:paraId="3B981867" w14:textId="01A31CF9" w:rsidR="00571993" w:rsidRDefault="00237399" w:rsidP="00143FD2">
      <w:r>
        <w:t>Gillet, N., Huyghebaert-Zouaghi, T., Austin, S., Fernet, C. and Morin, A.J.S. (2021) 'Remote working: A double-edged sword for workers' personal and professional well-being', Journal of Management &amp; Organization, 27(6), pp. 1060-1082.</w:t>
      </w:r>
    </w:p>
    <w:p w14:paraId="54ECFB09" w14:textId="015FAE70" w:rsidR="00571993" w:rsidRDefault="00237399" w:rsidP="00143FD2">
      <w:r>
        <w:t>Golden, T.D. and Veiga, J.F. (2005) 'The impact of extent of telecommuting on job satisfaction: Resolving inconsistent findings', Journal of Management, 31(2), pp. 301-318.</w:t>
      </w:r>
    </w:p>
    <w:p w14:paraId="22677D62" w14:textId="5E006FDA" w:rsidR="00571993" w:rsidRDefault="00237399" w:rsidP="00143FD2">
      <w:r>
        <w:t>Grant, C.A., Wallace, L.M. and Spurgeon, P.C. (2013) 'An exploration of the psychological factors affecting remote e-worker's job effectiveness, well-being and work-life balance', Employee Relations, 35(5), pp. 527-546.</w:t>
      </w:r>
    </w:p>
    <w:p w14:paraId="7741EEC4" w14:textId="6826A45D" w:rsidR="00571993" w:rsidRDefault="00237399" w:rsidP="00143FD2">
      <w:r>
        <w:lastRenderedPageBreak/>
        <w:t>Grzywacz, J.G. and Marks, N.F. (2000) 'Reconceptualizing the work-family interface: An ecological perspective on the correlates of positive and negative spillover between work and family', Journal of Occupational Health Psychology, 5(1), pp. 111-126.</w:t>
      </w:r>
    </w:p>
    <w:p w14:paraId="3771D10F" w14:textId="1B8D21D8" w:rsidR="00571993" w:rsidRDefault="00237399" w:rsidP="00143FD2">
      <w:r>
        <w:t>Guest, D.E. (2017) 'Human resource management and employee well-being: Towards a new analytic framework', Human Resource Management Journal, 27(1), pp. 22-38.</w:t>
      </w:r>
    </w:p>
    <w:p w14:paraId="246E1008" w14:textId="21137F9E" w:rsidR="00571993" w:rsidRDefault="00237399" w:rsidP="00143FD2">
      <w:r>
        <w:t>Guest, G., Bunce, A. and Johnson, L. (2006) 'How many interviews are enough? An experiment with data saturation and variability', Field Methods, 18(1), pp. 59-82.</w:t>
      </w:r>
    </w:p>
    <w:p w14:paraId="2D69C5BE" w14:textId="7E631B44" w:rsidR="00571993" w:rsidRDefault="00237399" w:rsidP="00143FD2">
      <w:r>
        <w:t>Hammer, L.B., Kossek, E.E., Anger, W.K., Bodner, T. and Zimmerman, K.L. (2011) 'Clarifying work-family intervention processes: The roles of work-family conflict and family-supportive supervisor behaviors', Journal of Applied Psychology, 96(1), pp. 134-150.</w:t>
      </w:r>
    </w:p>
    <w:p w14:paraId="4DD3E4C3" w14:textId="77777777" w:rsidR="00571993" w:rsidRDefault="00237399" w:rsidP="00143FD2">
      <w:r>
        <w:t>Hennink, M. and Kaiser, B.N. (2022) 'Sample sizes for saturation in qualitative research: A systematic review of empirical tests', Social Science &amp; Medicine, 292, 114523.</w:t>
      </w:r>
    </w:p>
    <w:p w14:paraId="54FBE567" w14:textId="6C285F4E" w:rsidR="00571993" w:rsidRDefault="00237399" w:rsidP="00143FD2">
      <w:r>
        <w:t>Hill, N.S., Axtell, C., Raghuram, S. and Nurmi, N. (2024) 'Unpacking virtual work's dual effects on employee well-being: An integrative review and future research agenda', Journal of Management, 50(2), pp. 752-792.</w:t>
      </w:r>
    </w:p>
    <w:p w14:paraId="5E9C9514" w14:textId="37DE2927" w:rsidR="00571993" w:rsidRDefault="00237399" w:rsidP="00143FD2">
      <w:r>
        <w:t>Hom, P.W., Lee, T.W., Shaw, J.D. and Hausknecht, J.P. (2017) 'One hundred years of employee turnover theory and research', Journal of Applied Psychology, 102(3), pp. 530-545.</w:t>
      </w:r>
    </w:p>
    <w:p w14:paraId="3810195A" w14:textId="77777777" w:rsidR="00571993" w:rsidRDefault="00237399" w:rsidP="00143FD2">
      <w:r>
        <w:t>Inegbedion, H.E. (2024) 'Work-life balance and employee commitment: mediating effect of job satisfaction', Frontiers in Psychology, 15, 1349555.</w:t>
      </w:r>
    </w:p>
    <w:p w14:paraId="5CA9598D" w14:textId="77777777" w:rsidR="00571993" w:rsidRDefault="00237399" w:rsidP="00143FD2">
      <w:r>
        <w:t>Ingusci, E., Signore, F., Giancaspro, M.L., Manuti, A., Molino, M., Russo, V., Zito, M. and Cortese, C.G. (2021) 'Workload, techno overload, and behavioral stress during COVID-19 emergency: The role of job crafting in remote workers', Frontiers in Psychology, 12, 655148.</w:t>
      </w:r>
    </w:p>
    <w:p w14:paraId="67DD577A" w14:textId="77777777" w:rsidR="00571993" w:rsidRDefault="00237399" w:rsidP="00143FD2">
      <w:r>
        <w:t>Ipsen, C., van Veldhoven, M., Kirchner, K. and Hansen, J.P. (2021) 'Six key advantages and disadvantages of working from home in Europe during COVID-19', International Journal of Environmental Research and Public Health, 18(4), 1826.</w:t>
      </w:r>
    </w:p>
    <w:p w14:paraId="3171DAAF" w14:textId="30FC8DA2" w:rsidR="00571993" w:rsidRDefault="00237399" w:rsidP="00143FD2">
      <w:r>
        <w:t>Johns, G. (2010) 'Presenteeism in the workplace: A review and research agenda', Journal of Organizational Behavior, 31(4), pp. 519-542.</w:t>
      </w:r>
    </w:p>
    <w:p w14:paraId="77DF2C9C" w14:textId="13414118" w:rsidR="00571993" w:rsidRDefault="00237399" w:rsidP="00143FD2">
      <w:r>
        <w:t>Kahn, W.A. (1990) 'Psychological conditions of personal engagement and disengagement at work', Academy of Management Journal, 33(4), pp. 692-724.</w:t>
      </w:r>
    </w:p>
    <w:p w14:paraId="47BF4FFD" w14:textId="271C0258" w:rsidR="00571993" w:rsidRDefault="00237399" w:rsidP="00143FD2">
      <w:r>
        <w:lastRenderedPageBreak/>
        <w:t>Kalliath, T. and Brough, P. (2008) 'Work-life balance: A review of the meaning of the balance construct', Journal of Management &amp; Organization, 14(3), pp. 323-327.</w:t>
      </w:r>
    </w:p>
    <w:p w14:paraId="116C655E" w14:textId="2F49A693" w:rsidR="00571993" w:rsidRDefault="00237399" w:rsidP="00143FD2">
      <w:r>
        <w:t>Kelliher, C. and Anderson, D. (2010) 'Doing more with less? Flexible working practices and the intensification of work', Human Relations, 63(1), pp. 83-106.</w:t>
      </w:r>
    </w:p>
    <w:p w14:paraId="0679936E" w14:textId="7BB4CFC8" w:rsidR="00571993" w:rsidRDefault="00237399" w:rsidP="00143FD2">
      <w:r>
        <w:t>Kelliher, C., Richardson, J. and Boiarintseva, G. (2019) 'All of work? All of life? Reconceptualising work-life balance for the 21st century', Human Resource Management Journal, 29(2), pp. 97-112.</w:t>
      </w:r>
    </w:p>
    <w:p w14:paraId="011992FF" w14:textId="69B9A4C9" w:rsidR="00571993" w:rsidRDefault="00237399" w:rsidP="00143FD2">
      <w:r>
        <w:t>Kelly, E.L., Moen, P., Oakes, J.M., Fan, W. and Others (2014) 'Changing work and work-family conflict: Evidence from the Work, Family, and Health Network', American Sociological Review, 79(3), pp. 485-516.</w:t>
      </w:r>
    </w:p>
    <w:p w14:paraId="4D28DE4F" w14:textId="4CE1C6DF" w:rsidR="00571993" w:rsidRDefault="00237399" w:rsidP="00143FD2">
      <w:r>
        <w:t>Kiger, M.E. and Varpio, L. (2020) 'Thematic analysis of qualitative data: AMEE Guide No. 131', Medical Teacher, 42(8), pp. 846-854.</w:t>
      </w:r>
    </w:p>
    <w:p w14:paraId="33E553D8" w14:textId="1EE2CE3E" w:rsidR="00571993" w:rsidRDefault="00237399" w:rsidP="00143FD2">
      <w:r>
        <w:t>Knight, C., Patterson, M. and Dawson, J. (2017) 'Building work engagement: A systematic review and meta-analysis investigating the effectiveness of work engagement interventions', Journal of Organizational Behavior, 38(6), pp. 792-812.</w:t>
      </w:r>
    </w:p>
    <w:p w14:paraId="7FCE4DEC" w14:textId="1A8BAE4E" w:rsidR="00571993" w:rsidRDefault="00237399" w:rsidP="00143FD2">
      <w:r>
        <w:t>Korstjens, I. and Moser, A. (2018) 'Series: Practical guidance to qualitative research. Part 4: Trustworthiness and publishing', European Journal of General Practice, 24(1), pp. 120-124.</w:t>
      </w:r>
    </w:p>
    <w:p w14:paraId="28904960" w14:textId="2EDD2E9E" w:rsidR="00571993" w:rsidRDefault="00237399" w:rsidP="00143FD2">
      <w:r>
        <w:t>Kossek, E.E. and Lautsch, B.A. (2012) 'Work-family boundary management styles in organizations: A cross-level model', Organizational Psychology Review, 2(2), pp. 152-171.</w:t>
      </w:r>
    </w:p>
    <w:p w14:paraId="425BBE6B" w14:textId="4A0FF556" w:rsidR="00571993" w:rsidRDefault="00237399" w:rsidP="00143FD2">
      <w:r>
        <w:t>Kossek, E.E., Perrigino, M.B. and Lautsch, B.A. (2023) 'Work-life flexibility policies from a boundary control and implementation perspective: A review and research framework', Journal of Management, 49(6), pp. 2062-2108.</w:t>
      </w:r>
    </w:p>
    <w:p w14:paraId="54A4E0D7" w14:textId="7D089282" w:rsidR="00571993" w:rsidRDefault="00237399" w:rsidP="00143FD2">
      <w:r>
        <w:t>Kurtessis, J.N., Eisenberger, R., Ford, M.T., Buffardi, L.C., Stewart, K.A. and Adis, C.S. (2017) 'Perceived organizational support: A meta-analytic evaluation of organizational support theory', Journal of Management, 43(6), pp. 1854-1884.</w:t>
      </w:r>
    </w:p>
    <w:p w14:paraId="54528D5E" w14:textId="336BF8D5" w:rsidR="00571993" w:rsidRDefault="00237399" w:rsidP="00143FD2">
      <w:r>
        <w:t>Labrague, L.J. and de los Santos, J.A.A. (2021) 'Fear of COVID-19, psychological distress, work satisfaction and turnover intention among frontline nurses', Journal of Nursing Management, 29(3), pp. 395-403.</w:t>
      </w:r>
    </w:p>
    <w:p w14:paraId="7E063340" w14:textId="3CB3E7AE" w:rsidR="00571993" w:rsidRDefault="00237399" w:rsidP="00143FD2">
      <w:r>
        <w:lastRenderedPageBreak/>
        <w:t>Lesener, T., Gusy, B. and Wolter, C. (2019) 'The job demands-resources model: A meta-analytic review of longitudinal studies', Work &amp; Stress, 33(1), pp. 76-103.</w:t>
      </w:r>
    </w:p>
    <w:p w14:paraId="4EE911DD" w14:textId="143D501D" w:rsidR="00571993" w:rsidRDefault="00237399" w:rsidP="00143FD2">
      <w:r>
        <w:t>Lesener, T., Gusy, B., Jochmann, A. and Wolter, C. (2020) 'The drivers of work engagement: A meta-analytic review of longitudinal evidence', Work &amp; Stress, 34(3), pp. 259-278.</w:t>
      </w:r>
    </w:p>
    <w:p w14:paraId="5E5F2F9D" w14:textId="77777777" w:rsidR="00571993" w:rsidRDefault="00237399" w:rsidP="00143FD2">
      <w:r>
        <w:t>Lincoln, Y.S. and Guba, E.G. (1985) Naturalistic Inquiry. Beverly Hills, CA: SAGE.</w:t>
      </w:r>
    </w:p>
    <w:p w14:paraId="04B27C32" w14:textId="4EFB5F1E" w:rsidR="00571993" w:rsidRDefault="00237399" w:rsidP="00143FD2">
      <w:r>
        <w:t>Lott, Y. and Chung, H. (2016) 'Gender discrepancies in the outcomes of schedule control on overtime hours and income in Germany', European Sociological Review, 32(6), pp. 752-765.</w:t>
      </w:r>
    </w:p>
    <w:p w14:paraId="4E533BB1" w14:textId="7C855926" w:rsidR="00571993" w:rsidRDefault="00237399" w:rsidP="00143FD2">
      <w:r>
        <w:t>Maslach, C., Schaufeli, W.B. and Leiter, M.P. (2001) 'Job burnout', Annual Review of Psychology, 52, pp. 397-422.</w:t>
      </w:r>
    </w:p>
    <w:p w14:paraId="6A25D19C" w14:textId="54A6152B" w:rsidR="00571993" w:rsidRDefault="00237399" w:rsidP="00143FD2">
      <w:r>
        <w:t>Mazmanian, M., Orlikowski, W.J. and Yates, J. (2013) 'The autonomy paradox: The implications of mobile email devices for knowledge professionals', Organization Science, 24(5), pp. 1337-1357.</w:t>
      </w:r>
    </w:p>
    <w:p w14:paraId="47E7457B" w14:textId="0BCE6C31" w:rsidR="00571993" w:rsidRDefault="00237399" w:rsidP="00143FD2">
      <w:r>
        <w:t>Mercurio, Z.A. (2015) 'Affective commitment as a core essence of organizational commitment: An integrative literature review', Human Resource Development Review, 14(4), pp. 389-414.</w:t>
      </w:r>
    </w:p>
    <w:p w14:paraId="0E616A89" w14:textId="29BC385E" w:rsidR="00571993" w:rsidRDefault="00237399" w:rsidP="00143FD2">
      <w:r>
        <w:t>Meyer, J.P. and Allen, N.J. (1991) 'A three-component conceptualization of organizational commitment', Human Resource Management Review, 1(1), pp. 61-89.</w:t>
      </w:r>
    </w:p>
    <w:p w14:paraId="4A40BDFF" w14:textId="707215C5" w:rsidR="00571993" w:rsidRDefault="00237399" w:rsidP="00143FD2">
      <w:r>
        <w:t>Meyer, J.P., Stanley, D.J., Herscovitch, L. and Topolnytsky, L. (2002) 'Affective, continuance, and normative commitment to the organization: A meta-analysis of antecedents, correlates, and consequences', Journal of Vocational Behavior, 61(1), pp. 20-52.</w:t>
      </w:r>
    </w:p>
    <w:p w14:paraId="30C5AA44" w14:textId="78683A22" w:rsidR="00571993" w:rsidRDefault="00237399" w:rsidP="00143FD2">
      <w:r>
        <w:t>Miraglia, M. and Johns, G. (2016) 'Going to work ill: A meta-analysis of the correlates of presenteeism and a dual-path model', Journal of Occupational Health Psychology, 21(3), pp. 261-283.</w:t>
      </w:r>
    </w:p>
    <w:p w14:paraId="2A21C93F" w14:textId="77777777" w:rsidR="00571993" w:rsidRDefault="00237399" w:rsidP="00143FD2">
      <w:r>
        <w:t>Molino, M., Ingusci, E., Signore, F., Manuti, A., Giancaspro, M.L., Russo, V., Zito, M. and Cortese, C.G. (2020) 'Wellbeing costs of technology use during Covid-19 remote working: An investigation using the Italian translation of the technostress creators scale', Sustainability, 12(15), 5911.</w:t>
      </w:r>
    </w:p>
    <w:p w14:paraId="6D3247DB" w14:textId="62F4FB05" w:rsidR="00571993" w:rsidRDefault="00237399" w:rsidP="00143FD2">
      <w:r>
        <w:t>Munsch, C.L. (2016) 'Flexible work, flexible penalties: The effect of gender, childcare, and type of request on the flexibility bias', Social Forces, 94(4), pp. 1567-1591.</w:t>
      </w:r>
    </w:p>
    <w:p w14:paraId="3CFB91D2" w14:textId="489FC4C3" w:rsidR="00571993" w:rsidRDefault="00237399" w:rsidP="00143FD2">
      <w:r>
        <w:lastRenderedPageBreak/>
        <w:t>Naeem, M., Ozuem, W., Howell, K. and Ranfagni, S. (2023) 'A step-by-step process of thematic analysis to develop a conceptual model in qualitative research', International Journal of Qualitative Methods, 22, pp. 1-18.</w:t>
      </w:r>
    </w:p>
    <w:p w14:paraId="1A160979" w14:textId="6F6DF9CA" w:rsidR="00571993" w:rsidRDefault="00237399" w:rsidP="00143FD2">
      <w:r>
        <w:t>Nowell, L.S., Norris, J.M., White, D.E. and Moules, N.J. (2017) 'Thematic analysis: Striving to meet the trustworthiness criteria', International Journal of Qualitative Methods, 16(1), pp. 1-13.</w:t>
      </w:r>
    </w:p>
    <w:p w14:paraId="5A7614D0" w14:textId="77777777" w:rsidR="00571993" w:rsidRDefault="00237399" w:rsidP="00143FD2">
      <w:r>
        <w:t>Oakman, J., Kinsman, N., Stuckey, R., Graham, M. and Weale, V. (2020) 'A rapid review of mental and physical health effects of working at home: How do we optimise health?', BMC Public Health, 20(1), 1825.</w:t>
      </w:r>
    </w:p>
    <w:p w14:paraId="7F094FB1" w14:textId="77777777" w:rsidR="00571993" w:rsidRDefault="00237399" w:rsidP="00143FD2">
      <w:r>
        <w:t>Office for National Statistics (2023) Characteristics of Homeworkers, Great Britain: September 2022 to January 2023. Newport: Office for National Statistics.</w:t>
      </w:r>
    </w:p>
    <w:p w14:paraId="23433B3B" w14:textId="77777777" w:rsidR="00571993" w:rsidRDefault="00237399" w:rsidP="00143FD2">
      <w:r>
        <w:t>Poon, Y.S.R., Lin, Y.P., Griffiths, P., Yong, K.K., Seah, B. and Liaw, S.Y. (2022) 'A global overview of healthcare workers' turnover intention amid COVID-19 pandemic: A systematic review with future directions', Human Resources for Health, 20(1), 70.</w:t>
      </w:r>
    </w:p>
    <w:p w14:paraId="6543F8B5" w14:textId="5C215469" w:rsidR="00571993" w:rsidRDefault="00237399" w:rsidP="00143FD2">
      <w:r>
        <w:t>Putnam, L.L., Myers, K.K. and Gailliard, B.M. (2014) 'Examining the tensions in workplace flexibility and exploring options for new directions', Human Relations, 67(4), pp. 413-440.</w:t>
      </w:r>
    </w:p>
    <w:p w14:paraId="7BA93362" w14:textId="4B838E21" w:rsidR="00571993" w:rsidRDefault="00237399" w:rsidP="00143FD2">
      <w:r>
        <w:t>Ratnaningsih, I.Z. and Idris, M.A. (2024) 'Spillover-crossover effect of work-family interface: A systematic review', The Family Journal. doi:10.1177/10664807241226709.</w:t>
      </w:r>
    </w:p>
    <w:p w14:paraId="25252B91" w14:textId="72F3DC05" w:rsidR="00571993" w:rsidRDefault="00237399" w:rsidP="00143FD2">
      <w:r>
        <w:t>Rich, B.L., LePine, J.A. and Crawford, E.R. (2010) 'Job engagement: Antecedents and effects on job performance', Academy of Management Journal, 53(3), pp. 617-635.</w:t>
      </w:r>
    </w:p>
    <w:p w14:paraId="1E0521FC" w14:textId="649619D8" w:rsidR="00571993" w:rsidRDefault="00237399" w:rsidP="00143FD2">
      <w:r>
        <w:t>Rubenstein, A.L., Eberly, M.B., Lee, T.W. and Mitchell, T.R. (2018) 'Surveying the forest: A meta-analysis, moderator investigation, and future-oriented discussion of the antecedents of voluntary employee turnover', Personnel Psychology, 71(1), pp. 23-65.</w:t>
      </w:r>
    </w:p>
    <w:p w14:paraId="45F57EE3" w14:textId="26F00A27" w:rsidR="00571993" w:rsidRDefault="00237399" w:rsidP="00143FD2">
      <w:r>
        <w:t>Saks, A.M. (2006) 'Antecedents and consequences of employee engagement', Journal of Managerial Psychology, 21(7), pp. 600-619.</w:t>
      </w:r>
    </w:p>
    <w:p w14:paraId="7611A919" w14:textId="77777777" w:rsidR="00571993" w:rsidRDefault="00237399" w:rsidP="00143FD2">
      <w:r>
        <w:t>Saunders, M.N.K., Lewis, P. and Thornhill, A. (2023) Research Methods for Business Students. 9th edn. Harlow: Pearson.</w:t>
      </w:r>
    </w:p>
    <w:p w14:paraId="1E910DBC" w14:textId="1A1B7479" w:rsidR="00571993" w:rsidRDefault="00237399" w:rsidP="00143FD2">
      <w:r>
        <w:lastRenderedPageBreak/>
        <w:t>Schaufeli, W.B. and Taris, T.W. (2014) 'A critical review of the Job Demands-Resources Model: Implications for improving work and health', in Bauer, G.F. and Hämmig, O. (eds.) Bridging Occupational, Organizational and Public Health. Dordrecht: Springer, pp. 43-68.</w:t>
      </w:r>
    </w:p>
    <w:p w14:paraId="3DC89D45" w14:textId="59D8E0B8" w:rsidR="00571993" w:rsidRDefault="00237399" w:rsidP="00143FD2">
      <w:r>
        <w:t>Sirgy, M.J. and Lee, D.-J. (2018) 'Work-life balance: An integrative review', Applied Research in Quality of Life, 13(1), pp. 229-254.</w:t>
      </w:r>
    </w:p>
    <w:p w14:paraId="54462DD7" w14:textId="422CDFBF" w:rsidR="00571993" w:rsidRDefault="00237399" w:rsidP="00143FD2">
      <w:r>
        <w:t>Sonnentag, S. and Bayer, U. (2005) 'Switching off mentally: Predictors and consequences of psychological detachment from work during off-job time', Journal of Occupational Health Psychology, 10(4), pp. 393-414.</w:t>
      </w:r>
    </w:p>
    <w:p w14:paraId="23597FC7" w14:textId="16961EC8" w:rsidR="00571993" w:rsidRDefault="00237399" w:rsidP="00143FD2">
      <w:r>
        <w:t>Spreitzer, G.M., Cameron, L. and Garrett, L. (2017) 'Alternative work arrangements: Two images of the new world of work', Annual Review of Organizational Psychology and Organizational Behavior, 4, pp. 473-499.</w:t>
      </w:r>
    </w:p>
    <w:p w14:paraId="3B87B3A2" w14:textId="42E41F97" w:rsidR="00571993" w:rsidRDefault="00237399" w:rsidP="00143FD2">
      <w:r>
        <w:t>Staines, G.L. (1980) 'Spillover versus compensation: A review of the literature on the relationship between work and nonwork', Human Relations, 33(2), pp. 111-129.</w:t>
      </w:r>
    </w:p>
    <w:p w14:paraId="60032C7C" w14:textId="77777777" w:rsidR="00571993" w:rsidRDefault="00237399" w:rsidP="00143FD2">
      <w:r>
        <w:t>Susanto, P., Hoque, M.E., Jannat, T., Emely, B., Zona, M.A. and Islam, M.A. (2022) 'Work-life balance, job satisfaction, and job performance of SMEs employees: The moderating role of family-supportive supervisor behaviors', Frontiers in Psychology, 13, 906876.</w:t>
      </w:r>
    </w:p>
    <w:p w14:paraId="74CE7AB1" w14:textId="77777777" w:rsidR="00571993" w:rsidRDefault="00237399" w:rsidP="00143FD2">
      <w:r>
        <w:t>Toscano, F. and Zappalà, S. (2020) 'Social isolation and stress as predictors of productivity perception and remote work satisfaction during the COVID-19 pandemic: The role of concern about the virus in a moderated double mediation', Sustainability, 12(23), 9804.</w:t>
      </w:r>
    </w:p>
    <w:p w14:paraId="3045DCDA" w14:textId="77777777" w:rsidR="00571993" w:rsidRDefault="00237399" w:rsidP="00143FD2">
      <w:r>
        <w:t>University of Wales Trinity Saint David (no date) Research Ethics and Integrity Code of Practice. Lampeter: UWTSD.</w:t>
      </w:r>
    </w:p>
    <w:p w14:paraId="0336571D" w14:textId="4C3D264D" w:rsidR="00571993" w:rsidRDefault="00237399" w:rsidP="00143FD2">
      <w:r>
        <w:t>Vander Elst, T., Verhoogen, R., Sercu, M., Van den Broeck, A., Baillien, E. and Godderis, L. (2017) 'Not extent of telecommuting, but job characteristics as proximal predictors of work-related well-being', Journal of Occupational and Environmental Medicine, 59(10), pp. e180-e186.</w:t>
      </w:r>
    </w:p>
    <w:p w14:paraId="56B8A4B0" w14:textId="77777777" w:rsidR="00571993" w:rsidRDefault="00237399" w:rsidP="00143FD2">
      <w:r>
        <w:t>Wajcman, J. (2015) Pressed for Time: The Acceleration of Life in Digital Capitalism. Chicago: University of Chicago Press.</w:t>
      </w:r>
    </w:p>
    <w:p w14:paraId="0492D3C7" w14:textId="6D8881B2" w:rsidR="00571993" w:rsidRDefault="00237399" w:rsidP="00143FD2">
      <w:r>
        <w:t>Wang, B., Liu, Y., Qian, J. and Parker, S.K. (2021) 'Achieving effective remote working during the COVID-19 pandemic: A work design perspective', Applied Psychology: An International Review, 70(1), pp. 16-59.</w:t>
      </w:r>
    </w:p>
    <w:p w14:paraId="0FD329A0" w14:textId="61F4621E" w:rsidR="00571993" w:rsidRDefault="00237399" w:rsidP="00143FD2">
      <w:r>
        <w:lastRenderedPageBreak/>
        <w:t>Williams, J.C., Blair-Loy, M. and Berdahl, J.L. (2013) 'Cultural schemas, social class, and the flexibility stigma', Journal of Social Issues, 69(2), pp. 209-234.</w:t>
      </w:r>
    </w:p>
    <w:p w14:paraId="32F098AC" w14:textId="7B197C48" w:rsidR="00571993" w:rsidRDefault="00237399" w:rsidP="00143FD2">
      <w:r>
        <w:t>Wong, K., Chan, A.H.S. and Teh, P.-L. (2020) 'How is work-life balance arrangement associated with organisational performance? A meta-analysis', International Journal of Environmental Research and Public Health, 17(12), 4446.</w:t>
      </w:r>
    </w:p>
    <w:p w14:paraId="531DC524" w14:textId="77777777" w:rsidR="00571993" w:rsidRDefault="00237399" w:rsidP="00143FD2">
      <w:r>
        <w:t>Wontorczyk, A. and Roznowski, B. (2022) 'Remote, hybrid, and on-site work during the SARS-CoV-2 pandemic and the consequences for stress and work engagement', International Journal of Environmental Research and Public Health, 19(4), 2400.</w:t>
      </w:r>
    </w:p>
    <w:p w14:paraId="3820DAEF" w14:textId="65B358DC" w:rsidR="00571993" w:rsidRDefault="00237399" w:rsidP="00143FD2">
      <w:r>
        <w:t>Wood, J., Oh, J., Park, J. and Kim, W. (2020) 'The relationship between work engagement and work-life balance in organizations: A review of the empirical research', Human Resource Development Review, 19(3), pp. 240-262.</w:t>
      </w:r>
    </w:p>
    <w:p w14:paraId="5F7BC908" w14:textId="77777777" w:rsidR="00571993" w:rsidRDefault="00237399" w:rsidP="00143FD2">
      <w:r>
        <w:t>Wood, S.J., Michaelides, G., Inceoglu, I., Hurren, E.T., Daniels, K. and Niven, K. (2021) 'Homeworking, well-being and the COVID-19 pandemic: A diary study', International Journal of Environmental Research and Public Health, 18(14), 7575.</w:t>
      </w:r>
    </w:p>
    <w:p w14:paraId="2ADC1951" w14:textId="3759ED6D" w:rsidR="00571993" w:rsidRDefault="00237399" w:rsidP="00143FD2">
      <w:r>
        <w:t>Xanthopoulou, D., Bakker, A.B., Demerouti, E. and Schaufeli, W.B. (2007) 'The role of personal resources in the job demands-resources model', International Journal of Stress Management, 14(2), pp. 121-141.</w:t>
      </w:r>
    </w:p>
    <w:p w14:paraId="58C3F0FF" w14:textId="77777777" w:rsidR="00571993" w:rsidRDefault="00237399" w:rsidP="00143FD2">
      <w:r>
        <w:br w:type="page"/>
      </w:r>
    </w:p>
    <w:p w14:paraId="700145CB" w14:textId="77777777" w:rsidR="00571993" w:rsidRDefault="00237399" w:rsidP="0098366A">
      <w:pPr>
        <w:pStyle w:val="Heading1"/>
        <w:jc w:val="both"/>
      </w:pPr>
      <w:bookmarkStart w:id="60" w:name="_Toc241018075"/>
      <w:r>
        <w:lastRenderedPageBreak/>
        <w:t>Appendices</w:t>
      </w:r>
      <w:bookmarkEnd w:id="60"/>
    </w:p>
    <w:p w14:paraId="7BDF70CF" w14:textId="3C3C2158" w:rsidR="00571993" w:rsidRPr="0098366A" w:rsidRDefault="00237399" w:rsidP="0098366A">
      <w:pPr>
        <w:pStyle w:val="Heading2"/>
      </w:pPr>
      <w:bookmarkStart w:id="61" w:name="_Toc241018076"/>
      <w:r>
        <w:t>Appendix A: Semi-Structured Interviews Questions</w:t>
      </w:r>
      <w:bookmarkEnd w:id="61"/>
    </w:p>
    <w:p w14:paraId="474DEC53" w14:textId="1FBB684B" w:rsidR="00571993" w:rsidRPr="0098366A" w:rsidRDefault="00237399" w:rsidP="00143FD2">
      <w:r>
        <w:t>Opening</w:t>
      </w:r>
    </w:p>
    <w:p w14:paraId="13700D43" w14:textId="77777777" w:rsidR="00571993" w:rsidRPr="0098366A" w:rsidRDefault="00237399" w:rsidP="00143FD2">
      <w:r>
        <w:t>1. Could you tell me a little about your current role and the sector you work in?</w:t>
      </w:r>
    </w:p>
    <w:p w14:paraId="4CB98666" w14:textId="77777777" w:rsidR="00571993" w:rsidRPr="0098366A" w:rsidRDefault="00237399" w:rsidP="00143FD2">
      <w:r>
        <w:t>2. Roughly how long have you worked in this organisation, and what does a typical working week look like for you?</w:t>
      </w:r>
    </w:p>
    <w:p w14:paraId="0465E6B4" w14:textId="77777777" w:rsidR="00571993" w:rsidRPr="0098366A" w:rsidRDefault="00237399" w:rsidP="00143FD2">
      <w:r>
        <w:t>Probe: How manageable does that workload usually feel?</w:t>
      </w:r>
    </w:p>
    <w:p w14:paraId="54502D3A" w14:textId="76D29C05" w:rsidR="00571993" w:rsidRPr="0098366A" w:rsidRDefault="00237399" w:rsidP="00143FD2">
      <w:r>
        <w:t>Section A - Awareness and availability of WLB policies</w:t>
      </w:r>
    </w:p>
    <w:p w14:paraId="22E3FFDC" w14:textId="77777777" w:rsidR="00571993" w:rsidRPr="0098366A" w:rsidRDefault="00237399" w:rsidP="00143FD2">
      <w:r>
        <w:t>3. What work-life balance policies or arrangements does your organisation offer, as far as you are aware?</w:t>
      </w:r>
    </w:p>
    <w:p w14:paraId="1FDB6315" w14:textId="77777777" w:rsidR="00571993" w:rsidRPr="0098366A" w:rsidRDefault="00237399" w:rsidP="00143FD2">
      <w:r>
        <w:t>4. How did you first find out about these policies?</w:t>
      </w:r>
    </w:p>
    <w:p w14:paraId="3E74CD08" w14:textId="77777777" w:rsidR="00571993" w:rsidRPr="0098366A" w:rsidRDefault="00237399" w:rsidP="00143FD2">
      <w:r>
        <w:t>Probe: How clearly are they communicated?</w:t>
      </w:r>
    </w:p>
    <w:p w14:paraId="21EA92C9" w14:textId="247F7FE0" w:rsidR="00571993" w:rsidRPr="0098366A" w:rsidRDefault="00237399" w:rsidP="00143FD2">
      <w:r>
        <w:t>Section B - Experience of using the policies</w:t>
      </w:r>
    </w:p>
    <w:p w14:paraId="3F0DEB8E" w14:textId="77777777" w:rsidR="00571993" w:rsidRPr="0098366A" w:rsidRDefault="00237399" w:rsidP="00143FD2">
      <w:r>
        <w:t>5. Which of these arrangements, if any, do you actually use, and how did you decide to use them?</w:t>
      </w:r>
    </w:p>
    <w:p w14:paraId="14128BD1" w14:textId="77777777" w:rsidR="00571993" w:rsidRPr="0098366A" w:rsidRDefault="00237399" w:rsidP="00143FD2">
      <w:r>
        <w:t>6. When you use a WLB policy, how do you feel it is viewed by your manager or colleagues?</w:t>
      </w:r>
    </w:p>
    <w:p w14:paraId="268A939D" w14:textId="77777777" w:rsidR="00571993" w:rsidRPr="0098366A" w:rsidRDefault="00237399" w:rsidP="00143FD2">
      <w:r>
        <w:t>Probe: Has using a policy, or wanting to, ever affected how you are treated at work?</w:t>
      </w:r>
    </w:p>
    <w:p w14:paraId="2D4DBAD7" w14:textId="77777777" w:rsidR="00571993" w:rsidRPr="0098366A" w:rsidRDefault="00237399" w:rsidP="00143FD2">
      <w:r>
        <w:t>7. Are there policies that exist on paper but feel difficult to use in practice? Could you describe an example?</w:t>
      </w:r>
    </w:p>
    <w:p w14:paraId="1A05848D" w14:textId="65CEE6E3" w:rsidR="00571993" w:rsidRPr="0098366A" w:rsidRDefault="00237399" w:rsidP="00143FD2">
      <w:r>
        <w:t>Section C - Well-being and spillover</w:t>
      </w:r>
    </w:p>
    <w:p w14:paraId="60BAE2C6" w14:textId="77777777" w:rsidR="00571993" w:rsidRPr="0098366A" w:rsidRDefault="00237399" w:rsidP="00143FD2">
      <w:r>
        <w:t>8. How do these arrangements affect the way you feel day to day, both at work and outside work?</w:t>
      </w:r>
    </w:p>
    <w:p w14:paraId="7C9A9FB1" w14:textId="77777777" w:rsidR="00571993" w:rsidRPr="0098366A" w:rsidRDefault="00237399" w:rsidP="00143FD2">
      <w:r>
        <w:t>9. Could you describe a time when work pressures spilled over into your personal life, or the other way around?</w:t>
      </w:r>
    </w:p>
    <w:p w14:paraId="52ED3A5E" w14:textId="77777777" w:rsidR="00571993" w:rsidRPr="0098366A" w:rsidRDefault="00237399" w:rsidP="00143FD2">
      <w:r>
        <w:t>Probe: What role, if any, did WLB arrangements play in that situation?</w:t>
      </w:r>
    </w:p>
    <w:p w14:paraId="71E505BB" w14:textId="77777777" w:rsidR="00571993" w:rsidRPr="0098366A" w:rsidRDefault="00237399" w:rsidP="00143FD2">
      <w:r>
        <w:lastRenderedPageBreak/>
        <w:t>10. When work is demanding, what helps you recover, and how well do your organisation's policies support that?</w:t>
      </w:r>
    </w:p>
    <w:p w14:paraId="7A19D21D" w14:textId="3CC07690" w:rsidR="00571993" w:rsidRPr="0098366A" w:rsidRDefault="00237399" w:rsidP="00143FD2">
      <w:r>
        <w:t>Section D - Engagement</w:t>
      </w:r>
    </w:p>
    <w:p w14:paraId="4B9E940D" w14:textId="77777777" w:rsidR="00571993" w:rsidRPr="0098366A" w:rsidRDefault="00237399" w:rsidP="00143FD2">
      <w:r>
        <w:t>11. How do your WLB arrangements affect how motivated or absorbed you feel in your work?</w:t>
      </w:r>
    </w:p>
    <w:p w14:paraId="1DA297C2" w14:textId="77777777" w:rsidR="00571993" w:rsidRPr="0098366A" w:rsidRDefault="00237399" w:rsidP="00143FD2">
      <w:r>
        <w:t>12. Can you think of a time when your work-life balance influenced how much effort or energy you put into your job?</w:t>
      </w:r>
    </w:p>
    <w:p w14:paraId="01A4A993" w14:textId="77777777" w:rsidR="00571993" w:rsidRPr="0098366A" w:rsidRDefault="00237399" w:rsidP="00143FD2">
      <w:r>
        <w:t>Probe: Were you able to be fully present in your role, or did something hold you back?</w:t>
      </w:r>
    </w:p>
    <w:p w14:paraId="250A1371" w14:textId="686DD6F7" w:rsidR="00571993" w:rsidRPr="0098366A" w:rsidRDefault="00237399" w:rsidP="00143FD2">
      <w:r>
        <w:t>Section E - Intention to stay</w:t>
      </w:r>
    </w:p>
    <w:p w14:paraId="0E98A1E2" w14:textId="77777777" w:rsidR="00571993" w:rsidRPr="0098366A" w:rsidRDefault="00237399" w:rsidP="00143FD2">
      <w:r>
        <w:t>13. How do you feel about staying with your current employer over the next few years?</w:t>
      </w:r>
    </w:p>
    <w:p w14:paraId="10871330" w14:textId="77777777" w:rsidR="00571993" w:rsidRPr="0098366A" w:rsidRDefault="00237399" w:rsidP="00143FD2">
      <w:r>
        <w:t>14. What part, if any, do WLB policies play in that feeling?</w:t>
      </w:r>
    </w:p>
    <w:p w14:paraId="28F7DD7C" w14:textId="77777777" w:rsidR="00571993" w:rsidRPr="0098366A" w:rsidRDefault="00237399" w:rsidP="00143FD2">
      <w:r>
        <w:t>Probe: Can you imagine a WLB-related situation that would make you seriously consider leaving?</w:t>
      </w:r>
    </w:p>
    <w:p w14:paraId="47F8B35A" w14:textId="77777777" w:rsidR="00571993" w:rsidRPr="0098366A" w:rsidRDefault="00237399" w:rsidP="00143FD2">
      <w:r>
        <w:t>15. Do you think you stay mainly because you want to, or because leaving would be difficult? Could you explain?</w:t>
      </w:r>
    </w:p>
    <w:p w14:paraId="2B0568F6" w14:textId="25EF37AF" w:rsidR="00571993" w:rsidRPr="0098366A" w:rsidRDefault="00237399" w:rsidP="00143FD2">
      <w:r>
        <w:t>Section F - Recommendations and closing</w:t>
      </w:r>
    </w:p>
    <w:p w14:paraId="09987EAF" w14:textId="77777777" w:rsidR="00571993" w:rsidRPr="0098366A" w:rsidRDefault="00237399" w:rsidP="00143FD2">
      <w:r>
        <w:t>16. If you could change one thing about how work-life balance is handled where you work, what would it be?</w:t>
      </w:r>
    </w:p>
    <w:p w14:paraId="3A40C6D5" w14:textId="77777777" w:rsidR="00571993" w:rsidRPr="0098366A" w:rsidRDefault="00237399" w:rsidP="00143FD2">
      <w:r>
        <w:t>17. What would a genuinely supportive work-life balance look like for you?</w:t>
      </w:r>
    </w:p>
    <w:p w14:paraId="6218A940" w14:textId="77777777" w:rsidR="00571993" w:rsidRPr="0098366A" w:rsidRDefault="00237399" w:rsidP="00143FD2">
      <w:r>
        <w:t>18. Is there anything else about your experience of WLB policies that we have not covered but you feel is important?</w:t>
      </w:r>
    </w:p>
    <w:p w14:paraId="6721EE37" w14:textId="168DBEF2" w:rsidR="00571993" w:rsidRDefault="00237399" w:rsidP="00143FD2">
      <w:r>
        <w:br w:type="page"/>
      </w:r>
    </w:p>
    <w:p w14:paraId="1C0769F7" w14:textId="249E9DC9" w:rsidR="0098366A" w:rsidRDefault="0098366A" w:rsidP="0098366A">
      <w:pPr>
        <w:pStyle w:val="Heading2"/>
      </w:pPr>
      <w:bookmarkStart w:id="62" w:name="_Toc241018077"/>
      <w:r>
        <w:lastRenderedPageBreak/>
        <w:t>Appendix B: Interview Transcripts</w:t>
      </w:r>
      <w:bookmarkEnd w:id="62"/>
    </w:p>
    <w:p w14:paraId="7417F591" w14:textId="5634BBCD" w:rsidR="0098366A" w:rsidRDefault="0098366A" w:rsidP="00143FD2"/>
    <w:p w14:paraId="401598B1" w14:textId="47B3FE50" w:rsidR="0098366A" w:rsidRDefault="00907EEF" w:rsidP="00143FD2">
      <w:r>
        <w:t>All 10 recorded interview transcripts are attached here:</w:t>
      </w:r>
    </w:p>
    <w:p w14:paraId="5F301688" w14:textId="1264413D" w:rsidR="00907EEF" w:rsidRDefault="00907EEF" w:rsidP="00143FD2">
      <w:r>
        <w:object w:dxaOrig="1543" w:dyaOrig="995" w14:anchorId="666B76A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6.95pt;height:49.65pt" o:ole="">
            <v:imagedata r:id="rId10" o:title=""/>
          </v:shape>
          <o:OLEObject Type="Embed" ProgID="Package" ShapeID="_x0000_i1025" DrawAspect="Icon" ObjectID="_1851661589" r:id="rId11"/>
        </w:object>
      </w:r>
    </w:p>
    <w:p w14:paraId="2B278619" w14:textId="265024C1" w:rsidR="00907EEF" w:rsidRDefault="00907EEF" w:rsidP="00143FD2"/>
    <w:p w14:paraId="6B9ED860" w14:textId="37948797" w:rsidR="00907EEF" w:rsidRDefault="00907EEF" w:rsidP="00143FD2">
      <w:r>
        <w:object w:dxaOrig="1543" w:dyaOrig="995" w14:anchorId="661EFF18">
          <v:shape id="_x0000_i1026" type="#_x0000_t75" style="width:76.95pt;height:49.65pt" o:ole="">
            <v:imagedata r:id="rId12" o:title=""/>
          </v:shape>
          <o:OLEObject Type="Embed" ProgID="Package" ShapeID="_x0000_i1026" DrawAspect="Icon" ObjectID="_1851661590" r:id="rId13"/>
        </w:object>
      </w:r>
    </w:p>
    <w:p w14:paraId="582276EF" w14:textId="3D3988D0" w:rsidR="00907EEF" w:rsidRDefault="00907EEF" w:rsidP="00143FD2"/>
    <w:p w14:paraId="6342732B" w14:textId="767292B1" w:rsidR="00907EEF" w:rsidRDefault="00907EEF" w:rsidP="00143FD2">
      <w:r>
        <w:object w:dxaOrig="1543" w:dyaOrig="995" w14:anchorId="47E2B138">
          <v:shape id="_x0000_i1027" type="#_x0000_t75" style="width:76.95pt;height:49.65pt" o:ole="">
            <v:imagedata r:id="rId14" o:title=""/>
          </v:shape>
          <o:OLEObject Type="Embed" ProgID="Package" ShapeID="_x0000_i1027" DrawAspect="Icon" ObjectID="_1851661591" r:id="rId15"/>
        </w:object>
      </w:r>
    </w:p>
    <w:p w14:paraId="24727C20" w14:textId="571099C9" w:rsidR="00907EEF" w:rsidRDefault="00907EEF" w:rsidP="00143FD2"/>
    <w:p w14:paraId="32E89CC5" w14:textId="5D61D03E" w:rsidR="00907EEF" w:rsidRDefault="00907EEF" w:rsidP="00143FD2">
      <w:r>
        <w:object w:dxaOrig="1543" w:dyaOrig="995" w14:anchorId="56DC2A2A">
          <v:shape id="_x0000_i1028" type="#_x0000_t75" style="width:76.95pt;height:49.65pt" o:ole="">
            <v:imagedata r:id="rId16" o:title=""/>
          </v:shape>
          <o:OLEObject Type="Embed" ProgID="Package" ShapeID="_x0000_i1028" DrawAspect="Icon" ObjectID="_1851661592" r:id="rId17"/>
        </w:object>
      </w:r>
    </w:p>
    <w:p w14:paraId="0C7EC4C6" w14:textId="764FA922" w:rsidR="00907EEF" w:rsidRDefault="00907EEF" w:rsidP="00143FD2"/>
    <w:p w14:paraId="691868F2" w14:textId="586DE8BA" w:rsidR="00907EEF" w:rsidRDefault="00907EEF" w:rsidP="00143FD2">
      <w:r>
        <w:object w:dxaOrig="1543" w:dyaOrig="995" w14:anchorId="11307B2B">
          <v:shape id="_x0000_i1029" type="#_x0000_t75" style="width:76.95pt;height:49.65pt" o:ole="">
            <v:imagedata r:id="rId18" o:title=""/>
          </v:shape>
          <o:OLEObject Type="Embed" ProgID="Package" ShapeID="_x0000_i1029" DrawAspect="Icon" ObjectID="_1851661593" r:id="rId19"/>
        </w:object>
      </w:r>
    </w:p>
    <w:p w14:paraId="0B860157" w14:textId="2EEE0AF2" w:rsidR="00907EEF" w:rsidRDefault="00907EEF" w:rsidP="00143FD2"/>
    <w:p w14:paraId="7D26C36C" w14:textId="0D2C66F3" w:rsidR="00907EEF" w:rsidRDefault="00907EEF" w:rsidP="00143FD2">
      <w:r>
        <w:object w:dxaOrig="1543" w:dyaOrig="995" w14:anchorId="4AE21ACC">
          <v:shape id="_x0000_i1030" type="#_x0000_t75" style="width:76.95pt;height:49.65pt" o:ole="">
            <v:imagedata r:id="rId20" o:title=""/>
          </v:shape>
          <o:OLEObject Type="Embed" ProgID="Package" ShapeID="_x0000_i1030" DrawAspect="Icon" ObjectID="_1851661594" r:id="rId21"/>
        </w:object>
      </w:r>
    </w:p>
    <w:p w14:paraId="7B762E4C" w14:textId="7FDB1862" w:rsidR="00907EEF" w:rsidRDefault="00907EEF" w:rsidP="00143FD2"/>
    <w:p w14:paraId="134374B2" w14:textId="204A0EF3" w:rsidR="00907EEF" w:rsidRDefault="00907EEF" w:rsidP="00143FD2">
      <w:r>
        <w:object w:dxaOrig="1543" w:dyaOrig="995" w14:anchorId="183EDB7F">
          <v:shape id="_x0000_i1031" type="#_x0000_t75" style="width:76.95pt;height:49.65pt" o:ole="">
            <v:imagedata r:id="rId22" o:title=""/>
          </v:shape>
          <o:OLEObject Type="Embed" ProgID="Package" ShapeID="_x0000_i1031" DrawAspect="Icon" ObjectID="_1851661595" r:id="rId23"/>
        </w:object>
      </w:r>
    </w:p>
    <w:p w14:paraId="542C553F" w14:textId="77777777" w:rsidR="00907EEF" w:rsidRDefault="00907EEF" w:rsidP="00143FD2"/>
    <w:p w14:paraId="15E5705B" w14:textId="06E5A3BE" w:rsidR="00907EEF" w:rsidRDefault="00907EEF" w:rsidP="00143FD2">
      <w:r>
        <w:object w:dxaOrig="1543" w:dyaOrig="995" w14:anchorId="1361BA8D">
          <v:shape id="_x0000_i1032" type="#_x0000_t75" style="width:76.95pt;height:49.65pt" o:ole="">
            <v:imagedata r:id="rId24" o:title=""/>
          </v:shape>
          <o:OLEObject Type="Embed" ProgID="Package" ShapeID="_x0000_i1032" DrawAspect="Icon" ObjectID="_1851661596" r:id="rId25"/>
        </w:object>
      </w:r>
    </w:p>
    <w:p w14:paraId="32C76825" w14:textId="77777777" w:rsidR="00907EEF" w:rsidRDefault="00907EEF" w:rsidP="00143FD2"/>
    <w:p w14:paraId="005FE90E" w14:textId="26F32F28" w:rsidR="00907EEF" w:rsidRDefault="00907EEF" w:rsidP="00143FD2">
      <w:r>
        <w:object w:dxaOrig="1543" w:dyaOrig="995" w14:anchorId="3BFC73AE">
          <v:shape id="_x0000_i1033" type="#_x0000_t75" style="width:76.95pt;height:49.65pt" o:ole="">
            <v:imagedata r:id="rId26" o:title=""/>
          </v:shape>
          <o:OLEObject Type="Embed" ProgID="Package" ShapeID="_x0000_i1033" DrawAspect="Icon" ObjectID="_1851661597" r:id="rId27"/>
        </w:object>
      </w:r>
    </w:p>
    <w:p w14:paraId="5A64D198" w14:textId="77777777" w:rsidR="00907EEF" w:rsidRDefault="00907EEF" w:rsidP="00143FD2"/>
    <w:p w14:paraId="0DE9A08B" w14:textId="33040339" w:rsidR="00907EEF" w:rsidRDefault="00907EEF" w:rsidP="00143FD2">
      <w:r>
        <w:object w:dxaOrig="1543" w:dyaOrig="995" w14:anchorId="5F71926A">
          <v:shape id="_x0000_i1034" type="#_x0000_t75" style="width:76.95pt;height:49.65pt" o:ole="">
            <v:imagedata r:id="rId28" o:title=""/>
          </v:shape>
          <o:OLEObject Type="Embed" ProgID="Package" ShapeID="_x0000_i1034" DrawAspect="Icon" ObjectID="_1851661598" r:id="rId29"/>
        </w:object>
      </w:r>
    </w:p>
    <w:p w14:paraId="373555ED" w14:textId="142E23D1" w:rsidR="00907EEF" w:rsidRDefault="00907EEF" w:rsidP="00143FD2"/>
    <w:p w14:paraId="4920BDAD" w14:textId="32E59830" w:rsidR="00907EEF" w:rsidRDefault="00907EEF" w:rsidP="00143FD2">
      <w:r>
        <w:t>The audio versions of the interview are available on this link:</w:t>
      </w:r>
    </w:p>
    <w:p w14:paraId="2D0C2B60" w14:textId="7E1ECE40" w:rsidR="00907EEF" w:rsidRPr="0098366A" w:rsidRDefault="0040037B" w:rsidP="00143FD2">
      <w:hyperlink r:id="rId30" w:history="1">
        <w:r w:rsidRPr="00F411FA">
          <w:rPr>
            <w:rStyle w:val="Hyperlink"/>
          </w:rPr>
          <w:t>https://drive.google.com/file/d/1E7e2OTGAwJZi3cHaww3v1aZ459rM0uEz/view?usp=sharing</w:t>
        </w:r>
      </w:hyperlink>
      <w:r>
        <w:t xml:space="preserve"> </w:t>
      </w:r>
    </w:p>
    <w:p w14:paraId="56E311FF" w14:textId="60363EEF" w:rsidR="0098366A" w:rsidRDefault="0098366A" w:rsidP="00143FD2"/>
    <w:p w14:paraId="1C195083" w14:textId="1E7F2519" w:rsidR="0098366A" w:rsidRDefault="0098366A" w:rsidP="00143FD2"/>
    <w:p w14:paraId="0EBEFB50" w14:textId="1A0BB5AC" w:rsidR="0098366A" w:rsidRDefault="0098366A" w:rsidP="00143FD2"/>
    <w:p w14:paraId="4E454F7D" w14:textId="31BBF8CB" w:rsidR="00907EEF" w:rsidRDefault="00907EEF" w:rsidP="00143FD2">
      <w:r>
        <w:br w:type="page"/>
      </w:r>
    </w:p>
    <w:p w14:paraId="42FF3151" w14:textId="00E61A5B" w:rsidR="00571993" w:rsidRDefault="00237399" w:rsidP="0098366A">
      <w:pPr>
        <w:pStyle w:val="Heading2"/>
      </w:pPr>
      <w:bookmarkStart w:id="63" w:name="_Toc241018078"/>
      <w:r>
        <w:lastRenderedPageBreak/>
        <w:t>Appendix C: Completed UWTSD Application for Ethical Approval (PG2)</w:t>
      </w:r>
      <w:bookmarkEnd w:id="63"/>
    </w:p>
    <w:p w14:paraId="5313C817" w14:textId="249F24EC" w:rsidR="00571993" w:rsidRDefault="00571993" w:rsidP="00143FD2"/>
    <w:p w14:paraId="085840CA" w14:textId="1B1A7E23" w:rsidR="0098366A" w:rsidRDefault="0098366A" w:rsidP="00143FD2">
      <w:r>
        <w:t xml:space="preserve">It was signed and approved by the supervisor and was submitted to our university portal. </w:t>
      </w:r>
    </w:p>
    <w:p w14:paraId="4D04DA09" w14:textId="77777777" w:rsidR="0098366A" w:rsidRDefault="0098366A" w:rsidP="00143FD2"/>
    <w:sectPr w:rsidR="0098366A">
      <w:footerReference w:type="default" r:id="rId31"/>
      <w:pgSz w:w="11906" w:h="16838"/>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8F0888" w14:textId="77777777" w:rsidR="00B60110" w:rsidRDefault="00B60110" w:rsidP="00143FD2">
      <w:r>
        <w:separator/>
      </w:r>
    </w:p>
  </w:endnote>
  <w:endnote w:type="continuationSeparator" w:id="0">
    <w:p w14:paraId="12EB36E8" w14:textId="77777777" w:rsidR="00B60110" w:rsidRDefault="00B60110" w:rsidP="00143F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ptos">
    <w:altName w:val="Calibri"/>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8405D9" w14:textId="77777777" w:rsidR="00571993" w:rsidRDefault="00237399" w:rsidP="00143FD2">
    <w:pPr>
      <w:jc w:val="right"/>
    </w:pPr>
    <w:r>
      <w:fldChar w:fldCharType="begin"/>
    </w:r>
    <w:r>
      <w:instrText>PAGE</w:instrText>
    </w:r>
    <w:r>
      <w:fldChar w:fldCharType="separate"/>
    </w:r>
    <w:r w:rsidR="009D782E">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A39346" w14:textId="77777777" w:rsidR="00B60110" w:rsidRDefault="00B60110" w:rsidP="00143FD2">
      <w:r>
        <w:separator/>
      </w:r>
    </w:p>
  </w:footnote>
  <w:footnote w:type="continuationSeparator" w:id="0">
    <w:p w14:paraId="27231B51" w14:textId="77777777" w:rsidR="00B60110" w:rsidRDefault="00B60110" w:rsidP="00143FD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071092"/>
    <w:multiLevelType w:val="hybridMultilevel"/>
    <w:tmpl w:val="37288258"/>
    <w:lvl w:ilvl="0" w:tplc="0232B4B0">
      <w:start w:val="1"/>
      <w:numFmt w:val="bullet"/>
      <w:lvlText w:val="●"/>
      <w:lvlJc w:val="left"/>
      <w:pPr>
        <w:ind w:left="720" w:hanging="360"/>
      </w:pPr>
    </w:lvl>
    <w:lvl w:ilvl="1" w:tplc="5C0A547A">
      <w:start w:val="1"/>
      <w:numFmt w:val="bullet"/>
      <w:lvlText w:val="○"/>
      <w:lvlJc w:val="left"/>
      <w:pPr>
        <w:ind w:left="1440" w:hanging="360"/>
      </w:pPr>
    </w:lvl>
    <w:lvl w:ilvl="2" w:tplc="592C887A">
      <w:start w:val="1"/>
      <w:numFmt w:val="bullet"/>
      <w:lvlText w:val="■"/>
      <w:lvlJc w:val="left"/>
      <w:pPr>
        <w:ind w:left="2160" w:hanging="360"/>
      </w:pPr>
    </w:lvl>
    <w:lvl w:ilvl="3" w:tplc="59E059BA">
      <w:start w:val="1"/>
      <w:numFmt w:val="bullet"/>
      <w:lvlText w:val="●"/>
      <w:lvlJc w:val="left"/>
      <w:pPr>
        <w:ind w:left="2880" w:hanging="360"/>
      </w:pPr>
    </w:lvl>
    <w:lvl w:ilvl="4" w:tplc="ABF8BFAE">
      <w:start w:val="1"/>
      <w:numFmt w:val="bullet"/>
      <w:lvlText w:val="○"/>
      <w:lvlJc w:val="left"/>
      <w:pPr>
        <w:ind w:left="3600" w:hanging="360"/>
      </w:pPr>
    </w:lvl>
    <w:lvl w:ilvl="5" w:tplc="191E1A8A">
      <w:start w:val="1"/>
      <w:numFmt w:val="bullet"/>
      <w:lvlText w:val="■"/>
      <w:lvlJc w:val="left"/>
      <w:pPr>
        <w:ind w:left="4320" w:hanging="360"/>
      </w:pPr>
    </w:lvl>
    <w:lvl w:ilvl="6" w:tplc="8EF260AC">
      <w:start w:val="1"/>
      <w:numFmt w:val="bullet"/>
      <w:lvlText w:val="●"/>
      <w:lvlJc w:val="left"/>
      <w:pPr>
        <w:ind w:left="5040" w:hanging="360"/>
      </w:pPr>
    </w:lvl>
    <w:lvl w:ilvl="7" w:tplc="FD10F4A6">
      <w:start w:val="1"/>
      <w:numFmt w:val="bullet"/>
      <w:lvlText w:val="●"/>
      <w:lvlJc w:val="left"/>
      <w:pPr>
        <w:ind w:left="5760" w:hanging="360"/>
      </w:pPr>
    </w:lvl>
    <w:lvl w:ilvl="8" w:tplc="2E62B42E">
      <w:start w:val="1"/>
      <w:numFmt w:val="bullet"/>
      <w:lvlText w:val="●"/>
      <w:lvlJc w:val="left"/>
      <w:pPr>
        <w:ind w:left="6480" w:hanging="360"/>
      </w:pPr>
    </w:lvl>
  </w:abstractNum>
  <w:abstractNum w:abstractNumId="1" w15:restartNumberingAfterBreak="0">
    <w:nsid w:val="42980963"/>
    <w:multiLevelType w:val="hybridMultilevel"/>
    <w:tmpl w:val="6E623044"/>
    <w:lvl w:ilvl="0" w:tplc="F5B4B650">
      <w:start w:val="1"/>
      <w:numFmt w:val="decimal"/>
      <w:lvlText w:val="%1."/>
      <w:lvlJc w:val="left"/>
      <w:pPr>
        <w:ind w:left="720" w:hanging="360"/>
      </w:pPr>
    </w:lvl>
    <w:lvl w:ilvl="1" w:tplc="976EE9C8">
      <w:numFmt w:val="decimal"/>
      <w:lvlText w:val=""/>
      <w:lvlJc w:val="left"/>
    </w:lvl>
    <w:lvl w:ilvl="2" w:tplc="2DEABAC0">
      <w:numFmt w:val="decimal"/>
      <w:lvlText w:val=""/>
      <w:lvlJc w:val="left"/>
    </w:lvl>
    <w:lvl w:ilvl="3" w:tplc="DCB250CE">
      <w:numFmt w:val="decimal"/>
      <w:lvlText w:val=""/>
      <w:lvlJc w:val="left"/>
    </w:lvl>
    <w:lvl w:ilvl="4" w:tplc="76DAFED6">
      <w:numFmt w:val="decimal"/>
      <w:lvlText w:val=""/>
      <w:lvlJc w:val="left"/>
    </w:lvl>
    <w:lvl w:ilvl="5" w:tplc="1D80FFBA">
      <w:numFmt w:val="decimal"/>
      <w:lvlText w:val=""/>
      <w:lvlJc w:val="left"/>
    </w:lvl>
    <w:lvl w:ilvl="6" w:tplc="0D54A440">
      <w:numFmt w:val="decimal"/>
      <w:lvlText w:val=""/>
      <w:lvlJc w:val="left"/>
    </w:lvl>
    <w:lvl w:ilvl="7" w:tplc="944A77BA">
      <w:numFmt w:val="decimal"/>
      <w:lvlText w:val=""/>
      <w:lvlJc w:val="left"/>
    </w:lvl>
    <w:lvl w:ilvl="8" w:tplc="989036AC">
      <w:numFmt w:val="decimal"/>
      <w:lvlText w:val=""/>
      <w:lvlJc w:val="left"/>
    </w:lvl>
  </w:abstractNum>
  <w:abstractNum w:abstractNumId="2" w15:restartNumberingAfterBreak="0">
    <w:nsid w:val="55FC76F7"/>
    <w:multiLevelType w:val="hybridMultilevel"/>
    <w:tmpl w:val="6E623044"/>
    <w:lvl w:ilvl="0" w:tplc="F5B4B650">
      <w:start w:val="1"/>
      <w:numFmt w:val="decimal"/>
      <w:lvlText w:val="%1."/>
      <w:lvlJc w:val="left"/>
      <w:pPr>
        <w:ind w:left="720" w:hanging="360"/>
      </w:pPr>
    </w:lvl>
    <w:lvl w:ilvl="1" w:tplc="976EE9C8">
      <w:numFmt w:val="decimal"/>
      <w:lvlText w:val=""/>
      <w:lvlJc w:val="left"/>
    </w:lvl>
    <w:lvl w:ilvl="2" w:tplc="2DEABAC0">
      <w:numFmt w:val="decimal"/>
      <w:lvlText w:val=""/>
      <w:lvlJc w:val="left"/>
    </w:lvl>
    <w:lvl w:ilvl="3" w:tplc="DCB250CE">
      <w:numFmt w:val="decimal"/>
      <w:lvlText w:val=""/>
      <w:lvlJc w:val="left"/>
    </w:lvl>
    <w:lvl w:ilvl="4" w:tplc="76DAFED6">
      <w:numFmt w:val="decimal"/>
      <w:lvlText w:val=""/>
      <w:lvlJc w:val="left"/>
    </w:lvl>
    <w:lvl w:ilvl="5" w:tplc="1D80FFBA">
      <w:numFmt w:val="decimal"/>
      <w:lvlText w:val=""/>
      <w:lvlJc w:val="left"/>
    </w:lvl>
    <w:lvl w:ilvl="6" w:tplc="0D54A440">
      <w:numFmt w:val="decimal"/>
      <w:lvlText w:val=""/>
      <w:lvlJc w:val="left"/>
    </w:lvl>
    <w:lvl w:ilvl="7" w:tplc="944A77BA">
      <w:numFmt w:val="decimal"/>
      <w:lvlText w:val=""/>
      <w:lvlJc w:val="left"/>
    </w:lvl>
    <w:lvl w:ilvl="8" w:tplc="989036AC">
      <w:numFmt w:val="decimal"/>
      <w:lvlText w:val=""/>
      <w:lvlJc w:val="left"/>
    </w:lvl>
  </w:abstractNum>
  <w:num w:numId="1">
    <w:abstractNumId w:val="0"/>
    <w:lvlOverride w:ilvl="0">
      <w:startOverride w:val="1"/>
    </w:lvlOverride>
  </w:num>
  <w:num w:numId="2">
    <w:abstractNumId w:val="2"/>
    <w:lvlOverride w:ilvl="0">
      <w:startOverride w:val="1"/>
    </w:lvlOverride>
  </w:num>
  <w:num w:numId="3">
    <w:abstractNumId w:val="2"/>
  </w:num>
  <w:num w:numId="4">
    <w:abstractNumId w:val="1"/>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removePersonalInformation/>
  <w:removeDateAndTime/>
  <w:displayBackgroundShap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71993"/>
    <w:rsid w:val="00143FD2"/>
    <w:rsid w:val="00211BAC"/>
    <w:rsid w:val="00237399"/>
    <w:rsid w:val="00283763"/>
    <w:rsid w:val="00321481"/>
    <w:rsid w:val="00354A4C"/>
    <w:rsid w:val="0040037B"/>
    <w:rsid w:val="0043503A"/>
    <w:rsid w:val="00571993"/>
    <w:rsid w:val="006228CE"/>
    <w:rsid w:val="006F68A4"/>
    <w:rsid w:val="00731C91"/>
    <w:rsid w:val="007B68DE"/>
    <w:rsid w:val="00907EEF"/>
    <w:rsid w:val="00922750"/>
    <w:rsid w:val="0098366A"/>
    <w:rsid w:val="009D782E"/>
    <w:rsid w:val="00A74544"/>
    <w:rsid w:val="00AC7F43"/>
    <w:rsid w:val="00B37498"/>
    <w:rsid w:val="00B60110"/>
    <w:rsid w:val="00C63D1E"/>
    <w:rsid w:val="00F150A4"/>
    <w:rsid w:val="00FA64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C40D1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color w:val="000000"/>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43FD2"/>
    <w:pPr>
      <w:spacing w:after="160" w:line="360" w:lineRule="auto"/>
      <w:jc w:val="both"/>
    </w:pPr>
  </w:style>
  <w:style w:type="paragraph" w:styleId="Heading1">
    <w:name w:val="heading 1"/>
    <w:uiPriority w:val="9"/>
    <w:qFormat/>
    <w:pPr>
      <w:spacing w:before="240" w:after="160" w:line="360" w:lineRule="auto"/>
      <w:outlineLvl w:val="0"/>
    </w:pPr>
    <w:rPr>
      <w:b/>
      <w:bCs/>
      <w:sz w:val="32"/>
      <w:szCs w:val="32"/>
    </w:rPr>
  </w:style>
  <w:style w:type="paragraph" w:styleId="Heading2">
    <w:name w:val="heading 2"/>
    <w:link w:val="Heading2Char"/>
    <w:uiPriority w:val="9"/>
    <w:unhideWhenUsed/>
    <w:qFormat/>
    <w:rsid w:val="0098366A"/>
    <w:pPr>
      <w:spacing w:after="160" w:line="360" w:lineRule="auto"/>
      <w:jc w:val="both"/>
      <w:outlineLvl w:val="1"/>
    </w:pPr>
    <w:rPr>
      <w:b/>
      <w:bCs/>
      <w:sz w:val="28"/>
      <w:szCs w:val="28"/>
    </w:rPr>
  </w:style>
  <w:style w:type="paragraph" w:styleId="Heading3">
    <w:name w:val="heading 3"/>
    <w:uiPriority w:val="9"/>
    <w:unhideWhenUsed/>
    <w:qFormat/>
    <w:pPr>
      <w:spacing w:before="160" w:after="100" w:line="360" w:lineRule="auto"/>
      <w:outlineLvl w:val="2"/>
    </w:pPr>
    <w:rPr>
      <w:b/>
      <w:bCs/>
      <w:i/>
      <w:iCs/>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paragraph" w:styleId="TOC1">
    <w:name w:val="toc 1"/>
    <w:basedOn w:val="Normal"/>
    <w:next w:val="Normal"/>
    <w:autoRedefine/>
    <w:uiPriority w:val="39"/>
    <w:unhideWhenUsed/>
    <w:rsid w:val="009D782E"/>
    <w:pPr>
      <w:spacing w:after="100"/>
    </w:pPr>
  </w:style>
  <w:style w:type="paragraph" w:styleId="TOC2">
    <w:name w:val="toc 2"/>
    <w:basedOn w:val="Normal"/>
    <w:next w:val="Normal"/>
    <w:autoRedefine/>
    <w:uiPriority w:val="39"/>
    <w:unhideWhenUsed/>
    <w:rsid w:val="009D782E"/>
    <w:pPr>
      <w:spacing w:after="100"/>
      <w:ind w:left="240"/>
    </w:pPr>
  </w:style>
  <w:style w:type="paragraph" w:styleId="TOC3">
    <w:name w:val="toc 3"/>
    <w:basedOn w:val="Normal"/>
    <w:next w:val="Normal"/>
    <w:autoRedefine/>
    <w:uiPriority w:val="39"/>
    <w:unhideWhenUsed/>
    <w:rsid w:val="009D782E"/>
    <w:pPr>
      <w:spacing w:after="100"/>
      <w:ind w:left="480"/>
    </w:pPr>
  </w:style>
  <w:style w:type="character" w:customStyle="1" w:styleId="Heading2Char">
    <w:name w:val="Heading 2 Char"/>
    <w:basedOn w:val="DefaultParagraphFont"/>
    <w:link w:val="Heading2"/>
    <w:uiPriority w:val="9"/>
    <w:rsid w:val="0098366A"/>
    <w:rPr>
      <w:b/>
      <w:bCs/>
      <w:sz w:val="28"/>
      <w:szCs w:val="28"/>
    </w:rPr>
  </w:style>
  <w:style w:type="paragraph" w:styleId="Caption">
    <w:name w:val="caption"/>
    <w:basedOn w:val="Normal"/>
    <w:next w:val="Normal"/>
    <w:uiPriority w:val="35"/>
    <w:unhideWhenUsed/>
    <w:qFormat/>
    <w:rsid w:val="00143FD2"/>
    <w:pPr>
      <w:spacing w:after="200"/>
      <w:jc w:val="center"/>
    </w:pPr>
    <w:rPr>
      <w:i/>
      <w:iCs/>
      <w:color w:val="000000" w:themeColor="text1"/>
      <w:szCs w:val="18"/>
    </w:rPr>
  </w:style>
  <w:style w:type="paragraph" w:styleId="Header">
    <w:name w:val="header"/>
    <w:basedOn w:val="Normal"/>
    <w:link w:val="HeaderChar"/>
    <w:uiPriority w:val="99"/>
    <w:unhideWhenUsed/>
    <w:rsid w:val="00143FD2"/>
    <w:pPr>
      <w:tabs>
        <w:tab w:val="center" w:pos="4513"/>
        <w:tab w:val="right" w:pos="9026"/>
      </w:tabs>
      <w:spacing w:after="0" w:line="240" w:lineRule="auto"/>
    </w:pPr>
  </w:style>
  <w:style w:type="character" w:customStyle="1" w:styleId="HeaderChar">
    <w:name w:val="Header Char"/>
    <w:basedOn w:val="DefaultParagraphFont"/>
    <w:link w:val="Header"/>
    <w:uiPriority w:val="99"/>
    <w:rsid w:val="00143FD2"/>
  </w:style>
  <w:style w:type="paragraph" w:styleId="Footer">
    <w:name w:val="footer"/>
    <w:basedOn w:val="Normal"/>
    <w:link w:val="FooterChar"/>
    <w:uiPriority w:val="99"/>
    <w:unhideWhenUsed/>
    <w:rsid w:val="00143FD2"/>
    <w:pPr>
      <w:tabs>
        <w:tab w:val="center" w:pos="4513"/>
        <w:tab w:val="right" w:pos="9026"/>
      </w:tabs>
      <w:spacing w:after="0" w:line="240" w:lineRule="auto"/>
    </w:pPr>
  </w:style>
  <w:style w:type="character" w:customStyle="1" w:styleId="FooterChar">
    <w:name w:val="Footer Char"/>
    <w:basedOn w:val="DefaultParagraphFont"/>
    <w:link w:val="Footer"/>
    <w:uiPriority w:val="99"/>
    <w:rsid w:val="00143FD2"/>
  </w:style>
  <w:style w:type="paragraph" w:styleId="TableofFigures">
    <w:name w:val="table of figures"/>
    <w:basedOn w:val="Normal"/>
    <w:next w:val="Normal"/>
    <w:uiPriority w:val="99"/>
    <w:unhideWhenUsed/>
    <w:rsid w:val="00143FD2"/>
    <w:pPr>
      <w:spacing w:after="0"/>
    </w:pPr>
  </w:style>
  <w:style w:type="character" w:styleId="UnresolvedMention">
    <w:name w:val="Unresolved Mention"/>
    <w:basedOn w:val="DefaultParagraphFont"/>
    <w:uiPriority w:val="99"/>
    <w:semiHidden/>
    <w:unhideWhenUsed/>
    <w:rsid w:val="0040037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13" Type="http://schemas.openxmlformats.org/officeDocument/2006/relationships/oleObject" Target="embeddings/oleObject2.bin"/><Relationship Id="rId18" Type="http://schemas.openxmlformats.org/officeDocument/2006/relationships/image" Target="media/image7.emf"/><Relationship Id="rId26" Type="http://schemas.openxmlformats.org/officeDocument/2006/relationships/image" Target="media/image11.emf"/><Relationship Id="rId3" Type="http://schemas.openxmlformats.org/officeDocument/2006/relationships/styles" Target="styles.xml"/><Relationship Id="rId21" Type="http://schemas.openxmlformats.org/officeDocument/2006/relationships/oleObject" Target="embeddings/oleObject6.bin"/><Relationship Id="rId7" Type="http://schemas.openxmlformats.org/officeDocument/2006/relationships/endnotes" Target="endnotes.xml"/><Relationship Id="rId12" Type="http://schemas.openxmlformats.org/officeDocument/2006/relationships/image" Target="media/image4.emf"/><Relationship Id="rId17" Type="http://schemas.openxmlformats.org/officeDocument/2006/relationships/oleObject" Target="embeddings/oleObject4.bin"/><Relationship Id="rId25" Type="http://schemas.openxmlformats.org/officeDocument/2006/relationships/oleObject" Target="embeddings/oleObject8.bin"/><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6.emf"/><Relationship Id="rId20" Type="http://schemas.openxmlformats.org/officeDocument/2006/relationships/image" Target="media/image8.emf"/><Relationship Id="rId29" Type="http://schemas.openxmlformats.org/officeDocument/2006/relationships/oleObject" Target="embeddings/oleObject10.bin"/><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1.bin"/><Relationship Id="rId24" Type="http://schemas.openxmlformats.org/officeDocument/2006/relationships/image" Target="media/image10.emf"/><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oleObject" Target="embeddings/oleObject3.bin"/><Relationship Id="rId23" Type="http://schemas.openxmlformats.org/officeDocument/2006/relationships/oleObject" Target="embeddings/oleObject7.bin"/><Relationship Id="rId28" Type="http://schemas.openxmlformats.org/officeDocument/2006/relationships/image" Target="media/image12.emf"/><Relationship Id="rId10" Type="http://schemas.openxmlformats.org/officeDocument/2006/relationships/image" Target="media/image3.emf"/><Relationship Id="rId19" Type="http://schemas.openxmlformats.org/officeDocument/2006/relationships/oleObject" Target="embeddings/oleObject5.bin"/><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5.emf"/><Relationship Id="rId22" Type="http://schemas.openxmlformats.org/officeDocument/2006/relationships/image" Target="media/image9.emf"/><Relationship Id="rId27" Type="http://schemas.openxmlformats.org/officeDocument/2006/relationships/oleObject" Target="embeddings/oleObject9.bin"/><Relationship Id="rId30" Type="http://schemas.openxmlformats.org/officeDocument/2006/relationships/hyperlink" Target="https://drive.google.com/file/d/1E7e2OTGAwJZi3cHaww3v1aZ459rM0uEz/view?usp=sharing" TargetMode="External"/><Relationship Id="rId8"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6BB96A-8A39-421D-852F-AFBE3B978E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19966</Words>
  <Characters>113810</Characters>
  <Application>Microsoft Office Word</Application>
  <DocSecurity>0</DocSecurity>
  <Lines>948</Lines>
  <Paragraphs>267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133509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2026-09-22T19:10:00Z</dcterms:created>
  <dcterms:modified xsi:type="dcterms:W3CDTF">2026-09-23T03:40:00Z</dcterms:modified>
</cp:coreProperties>
</file>