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1CDF" w14:textId="77777777" w:rsidR="009807D4" w:rsidRDefault="009807D4" w:rsidP="00C95A03">
      <w:pPr>
        <w:pStyle w:val="Heading1"/>
        <w:spacing w:line="360" w:lineRule="auto"/>
        <w:rPr>
          <w:rFonts w:ascii="Arial" w:hAnsi="Arial" w:cs="Arial"/>
          <w:b/>
          <w:color w:val="auto"/>
          <w:sz w:val="24"/>
          <w:szCs w:val="24"/>
        </w:rPr>
      </w:pPr>
      <w:r>
        <w:rPr>
          <w:rFonts w:ascii="Arial" w:hAnsi="Arial" w:cs="Arial"/>
          <w:b/>
          <w:color w:val="auto"/>
          <w:sz w:val="24"/>
          <w:szCs w:val="24"/>
        </w:rPr>
        <w:t xml:space="preserve">Name: Sandra </w:t>
      </w:r>
      <w:proofErr w:type="spellStart"/>
      <w:r>
        <w:rPr>
          <w:rFonts w:ascii="Arial" w:hAnsi="Arial" w:cs="Arial"/>
          <w:b/>
          <w:color w:val="auto"/>
          <w:sz w:val="24"/>
          <w:szCs w:val="24"/>
        </w:rPr>
        <w:t>Gorolova</w:t>
      </w:r>
      <w:proofErr w:type="spellEnd"/>
    </w:p>
    <w:p w14:paraId="5100DD97" w14:textId="77777777" w:rsidR="009807D4" w:rsidRDefault="009807D4" w:rsidP="00C95A03">
      <w:pPr>
        <w:pStyle w:val="Heading1"/>
        <w:spacing w:line="360" w:lineRule="auto"/>
        <w:rPr>
          <w:rFonts w:ascii="Arial" w:hAnsi="Arial" w:cs="Arial"/>
          <w:b/>
          <w:color w:val="auto"/>
          <w:sz w:val="24"/>
          <w:szCs w:val="24"/>
        </w:rPr>
      </w:pPr>
      <w:r>
        <w:rPr>
          <w:rFonts w:ascii="Arial" w:hAnsi="Arial" w:cs="Arial"/>
          <w:b/>
          <w:color w:val="auto"/>
          <w:sz w:val="24"/>
          <w:szCs w:val="24"/>
        </w:rPr>
        <w:t>Date: 27/02/2024</w:t>
      </w:r>
    </w:p>
    <w:p w14:paraId="5DF71310" w14:textId="77777777" w:rsidR="009807D4" w:rsidRDefault="009807D4" w:rsidP="00C95A03">
      <w:pPr>
        <w:pStyle w:val="Heading1"/>
        <w:spacing w:line="360" w:lineRule="auto"/>
        <w:rPr>
          <w:rFonts w:ascii="Arial" w:hAnsi="Arial" w:cs="Arial"/>
          <w:b/>
          <w:color w:val="auto"/>
          <w:sz w:val="24"/>
          <w:szCs w:val="24"/>
        </w:rPr>
      </w:pPr>
    </w:p>
    <w:p w14:paraId="6B9C133E" w14:textId="2941D78D" w:rsidR="009F5DED" w:rsidRPr="00C95A03" w:rsidRDefault="00C95A03" w:rsidP="00C95A03">
      <w:pPr>
        <w:pStyle w:val="Heading1"/>
        <w:spacing w:line="360" w:lineRule="auto"/>
        <w:rPr>
          <w:rFonts w:ascii="Arial" w:hAnsi="Arial" w:cs="Arial"/>
          <w:b/>
          <w:color w:val="auto"/>
          <w:sz w:val="24"/>
          <w:szCs w:val="24"/>
        </w:rPr>
      </w:pPr>
      <w:r w:rsidRPr="00C95A03">
        <w:rPr>
          <w:rFonts w:ascii="Arial" w:hAnsi="Arial" w:cs="Arial"/>
          <w:b/>
          <w:color w:val="auto"/>
          <w:sz w:val="24"/>
          <w:szCs w:val="24"/>
        </w:rPr>
        <w:t>Hybrid Workplace</w:t>
      </w:r>
    </w:p>
    <w:p w14:paraId="5D9B2B95" w14:textId="77777777" w:rsidR="009F5DED" w:rsidRPr="00C95A03" w:rsidRDefault="009F5DED" w:rsidP="00C95A03">
      <w:pPr>
        <w:autoSpaceDE w:val="0"/>
        <w:autoSpaceDN w:val="0"/>
        <w:adjustRightInd w:val="0"/>
        <w:spacing w:after="0" w:line="360" w:lineRule="auto"/>
        <w:jc w:val="both"/>
        <w:rPr>
          <w:rFonts w:ascii="Arial" w:hAnsi="Arial" w:cs="Arial"/>
          <w:color w:val="000000"/>
          <w:sz w:val="24"/>
          <w:szCs w:val="24"/>
        </w:rPr>
      </w:pPr>
      <w:r w:rsidRPr="00C95A03">
        <w:rPr>
          <w:rFonts w:ascii="Arial" w:hAnsi="Arial" w:cs="Arial"/>
          <w:color w:val="000000"/>
          <w:sz w:val="24"/>
          <w:szCs w:val="24"/>
        </w:rPr>
        <w:t xml:space="preserve">Smith and </w:t>
      </w:r>
      <w:proofErr w:type="spellStart"/>
      <w:r w:rsidRPr="00C95A03">
        <w:rPr>
          <w:rFonts w:ascii="Arial" w:hAnsi="Arial" w:cs="Arial"/>
          <w:color w:val="000000"/>
          <w:sz w:val="24"/>
          <w:szCs w:val="24"/>
        </w:rPr>
        <w:t>Besharov</w:t>
      </w:r>
      <w:proofErr w:type="spellEnd"/>
      <w:r w:rsidRPr="00C95A03">
        <w:rPr>
          <w:rFonts w:ascii="Arial" w:hAnsi="Arial" w:cs="Arial"/>
          <w:color w:val="000000"/>
          <w:sz w:val="24"/>
          <w:szCs w:val="24"/>
        </w:rPr>
        <w:t xml:space="preserve"> (2019) define hybrid work as a combination of office and remote work. In order to sustain hybridity through deliberate flexibility in the face of change, new leadership strategies and </w:t>
      </w:r>
      <w:proofErr w:type="spellStart"/>
      <w:r w:rsidRPr="00C95A03">
        <w:rPr>
          <w:rFonts w:ascii="Arial" w:hAnsi="Arial" w:cs="Arial"/>
          <w:color w:val="000000"/>
          <w:sz w:val="24"/>
          <w:szCs w:val="24"/>
        </w:rPr>
        <w:t>organisational</w:t>
      </w:r>
      <w:proofErr w:type="spellEnd"/>
      <w:r w:rsidRPr="00C95A03">
        <w:rPr>
          <w:rFonts w:ascii="Arial" w:hAnsi="Arial" w:cs="Arial"/>
          <w:color w:val="000000"/>
          <w:sz w:val="24"/>
          <w:szCs w:val="24"/>
        </w:rPr>
        <w:t xml:space="preserve"> structures are required. According to Nugroho and Hermawan (2022), diversified leadership improves both team performance and alignment. It's critical to distinguish between teams and groups here. You may find it easier to lead and collaborate if you use Belbin's team roles and Tuckman's stages of team development. According to Smite et al. (2023), these models help to streamline leadership and team procedures. In their 2023 essay, Hopkins and </w:t>
      </w:r>
      <w:proofErr w:type="spellStart"/>
      <w:r w:rsidRPr="00C95A03">
        <w:rPr>
          <w:rFonts w:ascii="Arial" w:hAnsi="Arial" w:cs="Arial"/>
          <w:color w:val="000000"/>
          <w:sz w:val="24"/>
          <w:szCs w:val="24"/>
        </w:rPr>
        <w:t>Bardoel</w:t>
      </w:r>
      <w:proofErr w:type="spellEnd"/>
      <w:r w:rsidRPr="00C95A03">
        <w:rPr>
          <w:rFonts w:ascii="Arial" w:hAnsi="Arial" w:cs="Arial"/>
          <w:color w:val="000000"/>
          <w:sz w:val="24"/>
          <w:szCs w:val="24"/>
        </w:rPr>
        <w:t xml:space="preserve"> claim that mixed-tasking has both advantages and disadvantages. Some of these considerations include having fun at work and being satisfied with one's employment. To overcome these obstacles, companies must modify and regroup. Alterations can be </w:t>
      </w:r>
      <w:proofErr w:type="spellStart"/>
      <w:r w:rsidRPr="00C95A03">
        <w:rPr>
          <w:rFonts w:ascii="Arial" w:hAnsi="Arial" w:cs="Arial"/>
          <w:color w:val="000000"/>
          <w:sz w:val="24"/>
          <w:szCs w:val="24"/>
        </w:rPr>
        <w:t>visualised</w:t>
      </w:r>
      <w:proofErr w:type="spellEnd"/>
      <w:r w:rsidRPr="00C95A03">
        <w:rPr>
          <w:rFonts w:ascii="Arial" w:hAnsi="Arial" w:cs="Arial"/>
          <w:color w:val="000000"/>
          <w:sz w:val="24"/>
          <w:szCs w:val="24"/>
        </w:rPr>
        <w:t xml:space="preserve"> by graphing the hybrid work model. In today's workplace, it is critical to establish a balance between flexibility, collaboration, and effective leadership.</w:t>
      </w:r>
    </w:p>
    <w:p w14:paraId="24E3C8EC" w14:textId="77777777" w:rsidR="00C95A03" w:rsidRPr="00C95A03" w:rsidRDefault="00C95A03" w:rsidP="00C95A03">
      <w:pPr>
        <w:pStyle w:val="Heading1"/>
        <w:spacing w:line="360" w:lineRule="auto"/>
        <w:rPr>
          <w:rFonts w:ascii="Arial" w:hAnsi="Arial" w:cs="Arial"/>
          <w:b/>
          <w:color w:val="auto"/>
          <w:sz w:val="24"/>
          <w:szCs w:val="24"/>
        </w:rPr>
      </w:pPr>
      <w:r w:rsidRPr="00C95A03">
        <w:rPr>
          <w:rFonts w:ascii="Arial" w:hAnsi="Arial" w:cs="Arial"/>
          <w:b/>
          <w:color w:val="auto"/>
          <w:sz w:val="24"/>
          <w:szCs w:val="24"/>
        </w:rPr>
        <w:t>Understanding Team and Their Dynamics</w:t>
      </w:r>
    </w:p>
    <w:p w14:paraId="519FDEC0" w14:textId="77777777" w:rsidR="009F5DED" w:rsidRPr="00C95A03" w:rsidRDefault="009F5DED" w:rsidP="00C95A03">
      <w:pPr>
        <w:spacing w:line="360" w:lineRule="auto"/>
        <w:jc w:val="both"/>
        <w:rPr>
          <w:rFonts w:ascii="Arial" w:hAnsi="Arial" w:cs="Arial"/>
          <w:sz w:val="24"/>
          <w:szCs w:val="24"/>
        </w:rPr>
      </w:pPr>
      <w:r w:rsidRPr="00C95A03">
        <w:rPr>
          <w:rFonts w:ascii="Arial" w:hAnsi="Arial" w:cs="Arial"/>
          <w:color w:val="000000"/>
          <w:sz w:val="24"/>
          <w:szCs w:val="24"/>
        </w:rPr>
        <w:t xml:space="preserve">Cooperative groups and teams are not synonymous in the context of human interaction. Tuckman's stages of group development, which include forming, raging, norming, performing, and adjourning, provide as examples of these periods. The execution of these tactics by groups results in successful inception, progression, and conclusion (Richter et al., 2021). Innovative groups achieve their objectives, overcome obstacles, and improve overall performance. Improved communication, trust, and esteem between team members can be beneficial (Vaida and Serban, 2021). Belbin's three roles—shapers, implementers, and coordinators—help to increase the dynamic by defining clear obligations for each team member in order to maintain harmony and productivity. Using this data, forming strategic teams becomes simple, allowing for equitable participation </w:t>
      </w:r>
      <w:r w:rsidRPr="00C95A03">
        <w:rPr>
          <w:rFonts w:ascii="Arial" w:hAnsi="Arial" w:cs="Arial"/>
          <w:color w:val="000000"/>
          <w:sz w:val="24"/>
          <w:szCs w:val="24"/>
        </w:rPr>
        <w:lastRenderedPageBreak/>
        <w:t xml:space="preserve">from all members (Flores </w:t>
      </w:r>
      <w:proofErr w:type="spellStart"/>
      <w:r w:rsidRPr="00C95A03">
        <w:rPr>
          <w:rFonts w:ascii="Arial" w:hAnsi="Arial" w:cs="Arial"/>
          <w:color w:val="000000"/>
          <w:sz w:val="24"/>
          <w:szCs w:val="24"/>
        </w:rPr>
        <w:t>Ureba</w:t>
      </w:r>
      <w:proofErr w:type="spellEnd"/>
      <w:r w:rsidRPr="00C95A03">
        <w:rPr>
          <w:rFonts w:ascii="Arial" w:hAnsi="Arial" w:cs="Arial"/>
          <w:color w:val="000000"/>
          <w:sz w:val="24"/>
          <w:szCs w:val="24"/>
        </w:rPr>
        <w:t xml:space="preserve"> et al., 2022). Integrating Belbin's responsibilities with Tuckman's developmental framework allows for a more holistic approach to </w:t>
      </w:r>
      <w:proofErr w:type="spellStart"/>
      <w:r w:rsidRPr="00C95A03">
        <w:rPr>
          <w:rFonts w:ascii="Arial" w:hAnsi="Arial" w:cs="Arial"/>
          <w:color w:val="000000"/>
          <w:sz w:val="24"/>
          <w:szCs w:val="24"/>
        </w:rPr>
        <w:t>maximising</w:t>
      </w:r>
      <w:proofErr w:type="spellEnd"/>
      <w:r w:rsidRPr="00C95A03">
        <w:rPr>
          <w:rFonts w:ascii="Arial" w:hAnsi="Arial" w:cs="Arial"/>
          <w:color w:val="000000"/>
          <w:sz w:val="24"/>
          <w:szCs w:val="24"/>
        </w:rPr>
        <w:t xml:space="preserve"> collaboration and achieving goals.</w:t>
      </w:r>
    </w:p>
    <w:p w14:paraId="7D313D7E" w14:textId="77777777" w:rsidR="009F5DED" w:rsidRPr="00C95A03" w:rsidRDefault="00C95A03" w:rsidP="00C95A03">
      <w:pPr>
        <w:pStyle w:val="Heading1"/>
        <w:spacing w:line="360" w:lineRule="auto"/>
        <w:rPr>
          <w:rFonts w:ascii="Arial" w:hAnsi="Arial" w:cs="Arial"/>
          <w:b/>
          <w:color w:val="auto"/>
          <w:sz w:val="24"/>
          <w:szCs w:val="24"/>
        </w:rPr>
      </w:pPr>
      <w:r w:rsidRPr="00C95A03">
        <w:rPr>
          <w:rFonts w:ascii="Arial" w:hAnsi="Arial" w:cs="Arial"/>
          <w:b/>
          <w:color w:val="auto"/>
          <w:sz w:val="24"/>
          <w:szCs w:val="24"/>
        </w:rPr>
        <w:t>Challenges Overcoming</w:t>
      </w:r>
    </w:p>
    <w:p w14:paraId="6511117E" w14:textId="77777777" w:rsidR="009F5DED" w:rsidRPr="00C95A03" w:rsidRDefault="009F5DED" w:rsidP="00C95A03">
      <w:pPr>
        <w:autoSpaceDE w:val="0"/>
        <w:autoSpaceDN w:val="0"/>
        <w:adjustRightInd w:val="0"/>
        <w:spacing w:after="0" w:line="360" w:lineRule="auto"/>
        <w:jc w:val="both"/>
        <w:rPr>
          <w:rFonts w:ascii="Arial" w:hAnsi="Arial" w:cs="Arial"/>
          <w:color w:val="000000"/>
          <w:sz w:val="24"/>
          <w:szCs w:val="24"/>
        </w:rPr>
      </w:pPr>
      <w:r w:rsidRPr="00C95A03">
        <w:rPr>
          <w:rFonts w:ascii="Arial" w:hAnsi="Arial" w:cs="Arial"/>
          <w:color w:val="000000"/>
          <w:sz w:val="24"/>
          <w:szCs w:val="24"/>
        </w:rPr>
        <w:t>Because of the unusual blend of face-to-person and distant contacts, hybrid teams face new obstacles in cooperation, communication, and team cohesiveness. These concerns stem primarily from the hybrid team's composition. Consistent virtual interactions and digital resources can foster effective task delegation, open communication protocols, and harmonious group dynamics (Kahlow et al., 2020). These problems can be solved using the offered solutions. In hybrid environments, equitable contribution evaluations are critical for maintaining optimal performance and inspiring team members (Richter et al., 2021). Effective implementation of mixed work policies requires strong foundations and adaptable leadership. IBM and Ericsson overcame challenges through digital collaboration, adaptation, and confidence (Santos and Ralph, 2023). The ultimate goal of this comprehensive hybrid methodology for team management is to increase productivity and cohesion by intentionally implementing cooperation, acknowledgment, and communication.</w:t>
      </w:r>
    </w:p>
    <w:p w14:paraId="5AD8FF64" w14:textId="77777777" w:rsidR="009F5DED" w:rsidRPr="00C95A03" w:rsidRDefault="00C95A03" w:rsidP="00C95A03">
      <w:pPr>
        <w:pStyle w:val="Heading1"/>
        <w:spacing w:line="360" w:lineRule="auto"/>
        <w:rPr>
          <w:rFonts w:ascii="Arial" w:hAnsi="Arial" w:cs="Arial"/>
          <w:b/>
          <w:color w:val="auto"/>
          <w:sz w:val="24"/>
          <w:szCs w:val="24"/>
        </w:rPr>
      </w:pPr>
      <w:r w:rsidRPr="00C95A03">
        <w:rPr>
          <w:rFonts w:ascii="Arial" w:hAnsi="Arial" w:cs="Arial"/>
          <w:b/>
          <w:color w:val="auto"/>
          <w:sz w:val="24"/>
          <w:szCs w:val="24"/>
        </w:rPr>
        <w:t>Effective Teamwork</w:t>
      </w:r>
    </w:p>
    <w:p w14:paraId="51CA7964" w14:textId="77777777" w:rsidR="009F5DED" w:rsidRPr="00C95A03" w:rsidRDefault="009F5DED" w:rsidP="00C95A03">
      <w:pPr>
        <w:autoSpaceDE w:val="0"/>
        <w:autoSpaceDN w:val="0"/>
        <w:adjustRightInd w:val="0"/>
        <w:spacing w:after="0" w:line="360" w:lineRule="auto"/>
        <w:jc w:val="both"/>
        <w:rPr>
          <w:rFonts w:ascii="Arial" w:hAnsi="Arial" w:cs="Arial"/>
          <w:color w:val="000000"/>
          <w:sz w:val="24"/>
          <w:szCs w:val="24"/>
        </w:rPr>
      </w:pPr>
      <w:r w:rsidRPr="00C95A03">
        <w:rPr>
          <w:rFonts w:ascii="Arial" w:hAnsi="Arial" w:cs="Arial"/>
          <w:color w:val="000000"/>
          <w:sz w:val="24"/>
          <w:szCs w:val="24"/>
        </w:rPr>
        <w:t xml:space="preserve">Hybrid work settings benefit employees by using motivating strategies, strong team relationships, and compassionate </w:t>
      </w:r>
      <w:proofErr w:type="spellStart"/>
      <w:r w:rsidRPr="00C95A03">
        <w:rPr>
          <w:rFonts w:ascii="Arial" w:hAnsi="Arial" w:cs="Arial"/>
          <w:color w:val="000000"/>
          <w:sz w:val="24"/>
          <w:szCs w:val="24"/>
        </w:rPr>
        <w:t>behaviour</w:t>
      </w:r>
      <w:proofErr w:type="spellEnd"/>
      <w:r w:rsidRPr="00C95A03">
        <w:rPr>
          <w:rFonts w:ascii="Arial" w:hAnsi="Arial" w:cs="Arial"/>
          <w:color w:val="000000"/>
          <w:sz w:val="24"/>
          <w:szCs w:val="24"/>
        </w:rPr>
        <w:t xml:space="preserve">. According to Kuczmarski and Kuczmarski (2018), an internet-based strategy called "online applause" that allows coworkers to approve one another's work increased workplace engagement and esprit de corps. Giving employees access to electronic communication is one method. Belbin suggests assigning reciprocal responsibilities to promote team cohesion. To increase project production and speed completion timelines, successful university work teams pick overseers and implementers who divide responsibilities fairly and keep the group informed of updates via monthly online meetings, as stated by Flores </w:t>
      </w:r>
      <w:proofErr w:type="spellStart"/>
      <w:r w:rsidRPr="00C95A03">
        <w:rPr>
          <w:rFonts w:ascii="Arial" w:hAnsi="Arial" w:cs="Arial"/>
          <w:color w:val="000000"/>
          <w:sz w:val="24"/>
          <w:szCs w:val="24"/>
        </w:rPr>
        <w:t>Ureba</w:t>
      </w:r>
      <w:proofErr w:type="spellEnd"/>
      <w:r w:rsidRPr="00C95A03">
        <w:rPr>
          <w:rFonts w:ascii="Arial" w:hAnsi="Arial" w:cs="Arial"/>
          <w:color w:val="000000"/>
          <w:sz w:val="24"/>
          <w:szCs w:val="24"/>
        </w:rPr>
        <w:t xml:space="preserve"> et al. (2022). Sharing obligations and resolving conflicts have become essential in digital correspondence. The importance of responsibility and openness in achieving goals and pleasing the team is highlighted by adaptive ways for splitting work and leadership, as well as frequent virtual meetings to </w:t>
      </w:r>
      <w:r w:rsidRPr="00C95A03">
        <w:rPr>
          <w:rFonts w:ascii="Arial" w:hAnsi="Arial" w:cs="Arial"/>
          <w:color w:val="000000"/>
          <w:sz w:val="24"/>
          <w:szCs w:val="24"/>
        </w:rPr>
        <w:lastRenderedPageBreak/>
        <w:t xml:space="preserve">discuss issues, in accordance with Kahlow et al. (2020). To overcome difficulties and </w:t>
      </w:r>
      <w:proofErr w:type="spellStart"/>
      <w:r w:rsidRPr="00C95A03">
        <w:rPr>
          <w:rFonts w:ascii="Arial" w:hAnsi="Arial" w:cs="Arial"/>
          <w:color w:val="000000"/>
          <w:sz w:val="24"/>
          <w:szCs w:val="24"/>
        </w:rPr>
        <w:t>maximise</w:t>
      </w:r>
      <w:proofErr w:type="spellEnd"/>
      <w:r w:rsidRPr="00C95A03">
        <w:rPr>
          <w:rFonts w:ascii="Arial" w:hAnsi="Arial" w:cs="Arial"/>
          <w:color w:val="000000"/>
          <w:sz w:val="24"/>
          <w:szCs w:val="24"/>
        </w:rPr>
        <w:t xml:space="preserve"> benefits, hybrid work requires teamwork, clever reward systems, and transparent engagement.</w:t>
      </w:r>
    </w:p>
    <w:p w14:paraId="5F9FD7E7" w14:textId="77777777" w:rsidR="009F5DED" w:rsidRPr="00C95A03" w:rsidRDefault="00C95A03" w:rsidP="00C95A03">
      <w:pPr>
        <w:pStyle w:val="Heading1"/>
        <w:spacing w:line="360" w:lineRule="auto"/>
        <w:rPr>
          <w:rFonts w:ascii="Arial" w:hAnsi="Arial" w:cs="Arial"/>
          <w:b/>
          <w:color w:val="auto"/>
          <w:sz w:val="24"/>
          <w:szCs w:val="24"/>
        </w:rPr>
      </w:pPr>
      <w:r w:rsidRPr="00C95A03">
        <w:rPr>
          <w:rFonts w:ascii="Arial" w:hAnsi="Arial" w:cs="Arial"/>
          <w:b/>
          <w:color w:val="auto"/>
          <w:sz w:val="24"/>
          <w:szCs w:val="24"/>
        </w:rPr>
        <w:t>References</w:t>
      </w:r>
    </w:p>
    <w:p w14:paraId="122AAC50"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 xml:space="preserve">Smith, W.K. and </w:t>
      </w:r>
      <w:proofErr w:type="spellStart"/>
      <w:r w:rsidRPr="00C95A03">
        <w:rPr>
          <w:rFonts w:ascii="Arial" w:hAnsi="Arial" w:cs="Arial"/>
          <w:sz w:val="24"/>
          <w:szCs w:val="24"/>
        </w:rPr>
        <w:t>Besharov</w:t>
      </w:r>
      <w:proofErr w:type="spellEnd"/>
      <w:r w:rsidRPr="00C95A03">
        <w:rPr>
          <w:rFonts w:ascii="Arial" w:hAnsi="Arial" w:cs="Arial"/>
          <w:sz w:val="24"/>
          <w:szCs w:val="24"/>
        </w:rPr>
        <w:t>, M.L., 2019. Bowing before dual gods: How structured flexibility sustains organizational hybridity. Administrative Science Quarterly, 64(1), pp.1-44.</w:t>
      </w:r>
    </w:p>
    <w:p w14:paraId="0A21220D"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Nugroho, D.T. and Hermawan, P., 2022. Strengthening collaboration through perception alignment: hybrid workplace leadership impact on member awareness, understanding, and learning agility. International Journal of Management, Entrepreneurship, Social Science and Humanities, 5(1), pp.116-132.</w:t>
      </w:r>
    </w:p>
    <w:p w14:paraId="34240DE9"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Smite, D., Moe, N.B., Hildrum, J., Gonzalez-Huerta, J. and Mendez, D., 2023. Work-from-home is here to stay: Call for flexibility in post-pandemic work policies. Journal of Systems and Software, 195, p.111552.</w:t>
      </w:r>
    </w:p>
    <w:p w14:paraId="66367E88"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 xml:space="preserve">Hopkins, J. and </w:t>
      </w:r>
      <w:proofErr w:type="spellStart"/>
      <w:r w:rsidRPr="00C95A03">
        <w:rPr>
          <w:rFonts w:ascii="Arial" w:hAnsi="Arial" w:cs="Arial"/>
          <w:sz w:val="24"/>
          <w:szCs w:val="24"/>
        </w:rPr>
        <w:t>Bardoel</w:t>
      </w:r>
      <w:proofErr w:type="spellEnd"/>
      <w:r w:rsidRPr="00C95A03">
        <w:rPr>
          <w:rFonts w:ascii="Arial" w:hAnsi="Arial" w:cs="Arial"/>
          <w:sz w:val="24"/>
          <w:szCs w:val="24"/>
        </w:rPr>
        <w:t xml:space="preserve">, A., 2023. The future is hybrid: how </w:t>
      </w:r>
      <w:proofErr w:type="spellStart"/>
      <w:r w:rsidRPr="00C95A03">
        <w:rPr>
          <w:rFonts w:ascii="Arial" w:hAnsi="Arial" w:cs="Arial"/>
          <w:sz w:val="24"/>
          <w:szCs w:val="24"/>
        </w:rPr>
        <w:t>organisations</w:t>
      </w:r>
      <w:proofErr w:type="spellEnd"/>
      <w:r w:rsidRPr="00C95A03">
        <w:rPr>
          <w:rFonts w:ascii="Arial" w:hAnsi="Arial" w:cs="Arial"/>
          <w:sz w:val="24"/>
          <w:szCs w:val="24"/>
        </w:rPr>
        <w:t xml:space="preserve"> are designing and supporting sustainable hybrid work models in post-pandemic Australia. Sustainability, 15(4), p.3086.</w:t>
      </w:r>
    </w:p>
    <w:p w14:paraId="53A10DE8"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 xml:space="preserve">Vaida, S.E.B.A.S.T.I.A.N. and Șerban, D., 2021. Group development stages. A brief comparative analysis of various models. Studia Universitatis Babes-Bolyai, </w:t>
      </w:r>
      <w:proofErr w:type="spellStart"/>
      <w:r w:rsidRPr="00C95A03">
        <w:rPr>
          <w:rFonts w:ascii="Arial" w:hAnsi="Arial" w:cs="Arial"/>
          <w:sz w:val="24"/>
          <w:szCs w:val="24"/>
        </w:rPr>
        <w:t>Psychologia-Paedagogia</w:t>
      </w:r>
      <w:proofErr w:type="spellEnd"/>
      <w:r w:rsidRPr="00C95A03">
        <w:rPr>
          <w:rFonts w:ascii="Arial" w:hAnsi="Arial" w:cs="Arial"/>
          <w:sz w:val="24"/>
          <w:szCs w:val="24"/>
        </w:rPr>
        <w:t>, 66(1), pp.91-110.</w:t>
      </w:r>
    </w:p>
    <w:p w14:paraId="649F69B3"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 xml:space="preserve">Richter, U.M., </w:t>
      </w:r>
      <w:proofErr w:type="spellStart"/>
      <w:r w:rsidRPr="00C95A03">
        <w:rPr>
          <w:rFonts w:ascii="Arial" w:hAnsi="Arial" w:cs="Arial"/>
          <w:sz w:val="24"/>
          <w:szCs w:val="24"/>
        </w:rPr>
        <w:t>Veerabhatla</w:t>
      </w:r>
      <w:proofErr w:type="spellEnd"/>
      <w:r w:rsidRPr="00C95A03">
        <w:rPr>
          <w:rFonts w:ascii="Arial" w:hAnsi="Arial" w:cs="Arial"/>
          <w:sz w:val="24"/>
          <w:szCs w:val="24"/>
        </w:rPr>
        <w:t xml:space="preserve">, S. and </w:t>
      </w:r>
      <w:proofErr w:type="spellStart"/>
      <w:r w:rsidRPr="00C95A03">
        <w:rPr>
          <w:rFonts w:ascii="Arial" w:hAnsi="Arial" w:cs="Arial"/>
          <w:sz w:val="24"/>
          <w:szCs w:val="24"/>
        </w:rPr>
        <w:t>Zasiekina</w:t>
      </w:r>
      <w:proofErr w:type="spellEnd"/>
      <w:r w:rsidRPr="00C95A03">
        <w:rPr>
          <w:rFonts w:ascii="Arial" w:hAnsi="Arial" w:cs="Arial"/>
          <w:sz w:val="24"/>
          <w:szCs w:val="24"/>
        </w:rPr>
        <w:t>, L., 2021. Managing and facilitating student learning in teams in higher education. In Cases on Active Blended Learning in Higher Education (pp. 149-171). IGI Global.</w:t>
      </w:r>
    </w:p>
    <w:p w14:paraId="52A6F1DC"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 xml:space="preserve">Flores </w:t>
      </w:r>
      <w:proofErr w:type="spellStart"/>
      <w:r w:rsidRPr="00C95A03">
        <w:rPr>
          <w:rFonts w:ascii="Arial" w:hAnsi="Arial" w:cs="Arial"/>
          <w:sz w:val="24"/>
          <w:szCs w:val="24"/>
        </w:rPr>
        <w:t>Ureba</w:t>
      </w:r>
      <w:proofErr w:type="spellEnd"/>
      <w:r w:rsidRPr="00C95A03">
        <w:rPr>
          <w:rFonts w:ascii="Arial" w:hAnsi="Arial" w:cs="Arial"/>
          <w:sz w:val="24"/>
          <w:szCs w:val="24"/>
        </w:rPr>
        <w:t xml:space="preserve">, S., Simón de Blas, C., </w:t>
      </w:r>
      <w:proofErr w:type="spellStart"/>
      <w:r w:rsidRPr="00C95A03">
        <w:rPr>
          <w:rFonts w:ascii="Arial" w:hAnsi="Arial" w:cs="Arial"/>
          <w:sz w:val="24"/>
          <w:szCs w:val="24"/>
        </w:rPr>
        <w:t>Borrás-Gené</w:t>
      </w:r>
      <w:proofErr w:type="spellEnd"/>
      <w:r w:rsidRPr="00C95A03">
        <w:rPr>
          <w:rFonts w:ascii="Arial" w:hAnsi="Arial" w:cs="Arial"/>
          <w:sz w:val="24"/>
          <w:szCs w:val="24"/>
        </w:rPr>
        <w:t>, O. and Macías-Guillén, A., 2022. Analyzing the Influence of Belbin’s Roles on the Quality of Collaborative Learning for the Study of Business Fundamentals. Education Sciences, 12(9), p.594.</w:t>
      </w:r>
    </w:p>
    <w:p w14:paraId="69996C19"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Kahlow, J., Klecka, H. and Ruppel, E., 2020. What the differences in conflict between online and face-to-face work groups mean for hybrid groups: A state-of-the-art review. Review of Communication Research, 8, pp.51-77.</w:t>
      </w:r>
    </w:p>
    <w:p w14:paraId="3DD4D97E"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lastRenderedPageBreak/>
        <w:t>de Souza Santos, R.E. and Ralph, P., 2022, May. A grounded theory of coordination in remote-first and hybrid software teams. In Proceedings of the 44th International Conference on Software Engineering (pp. 25-35).</w:t>
      </w:r>
    </w:p>
    <w:p w14:paraId="29A88B85" w14:textId="77777777" w:rsidR="00C95A03" w:rsidRPr="00C95A03" w:rsidRDefault="00C95A03" w:rsidP="00C95A03">
      <w:pPr>
        <w:pStyle w:val="ListParagraph"/>
        <w:numPr>
          <w:ilvl w:val="0"/>
          <w:numId w:val="1"/>
        </w:numPr>
        <w:spacing w:line="360" w:lineRule="auto"/>
        <w:jc w:val="both"/>
        <w:rPr>
          <w:rFonts w:ascii="Arial" w:hAnsi="Arial" w:cs="Arial"/>
          <w:sz w:val="24"/>
          <w:szCs w:val="24"/>
        </w:rPr>
      </w:pPr>
      <w:r w:rsidRPr="00C95A03">
        <w:rPr>
          <w:rFonts w:ascii="Arial" w:hAnsi="Arial" w:cs="Arial"/>
          <w:sz w:val="24"/>
          <w:szCs w:val="24"/>
        </w:rPr>
        <w:t>Kuczmarski, S. and Kuczmarski, T., 2018. How rewards fuel or fail innovation. Strategic HR Review, 18(1), pp.8-12.</w:t>
      </w:r>
    </w:p>
    <w:p w14:paraId="41FD3180" w14:textId="77777777" w:rsidR="00C95A03" w:rsidRPr="00C95A03" w:rsidRDefault="00C95A03" w:rsidP="00C95A03">
      <w:pPr>
        <w:spacing w:line="360" w:lineRule="auto"/>
        <w:jc w:val="both"/>
        <w:rPr>
          <w:rFonts w:ascii="Arial" w:hAnsi="Arial" w:cs="Arial"/>
          <w:sz w:val="24"/>
          <w:szCs w:val="24"/>
        </w:rPr>
      </w:pPr>
    </w:p>
    <w:sectPr w:rsidR="00C95A03" w:rsidRPr="00C95A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A8E83" w14:textId="77777777" w:rsidR="00EA1A17" w:rsidRDefault="00EA1A17" w:rsidP="00DF427F">
      <w:pPr>
        <w:spacing w:after="0" w:line="240" w:lineRule="auto"/>
      </w:pPr>
      <w:r>
        <w:separator/>
      </w:r>
    </w:p>
  </w:endnote>
  <w:endnote w:type="continuationSeparator" w:id="0">
    <w:p w14:paraId="3666D902" w14:textId="77777777" w:rsidR="00EA1A17" w:rsidRDefault="00EA1A17" w:rsidP="00DF4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468E2" w14:textId="77777777" w:rsidR="00EA1A17" w:rsidRDefault="00EA1A17" w:rsidP="00DF427F">
      <w:pPr>
        <w:spacing w:after="0" w:line="240" w:lineRule="auto"/>
      </w:pPr>
      <w:r>
        <w:separator/>
      </w:r>
    </w:p>
  </w:footnote>
  <w:footnote w:type="continuationSeparator" w:id="0">
    <w:p w14:paraId="25295CB7" w14:textId="77777777" w:rsidR="00EA1A17" w:rsidRDefault="00EA1A17" w:rsidP="00DF42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D772E"/>
    <w:multiLevelType w:val="hybridMultilevel"/>
    <w:tmpl w:val="EC7AA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3510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ED"/>
    <w:rsid w:val="002A0714"/>
    <w:rsid w:val="009807D4"/>
    <w:rsid w:val="009F5DED"/>
    <w:rsid w:val="00C37876"/>
    <w:rsid w:val="00C95A03"/>
    <w:rsid w:val="00DF427F"/>
    <w:rsid w:val="00EA1A17"/>
    <w:rsid w:val="00FB6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74AD3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A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42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427F"/>
  </w:style>
  <w:style w:type="paragraph" w:styleId="Footer">
    <w:name w:val="footer"/>
    <w:basedOn w:val="Normal"/>
    <w:link w:val="FooterChar"/>
    <w:uiPriority w:val="99"/>
    <w:unhideWhenUsed/>
    <w:rsid w:val="00DF42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427F"/>
  </w:style>
  <w:style w:type="character" w:customStyle="1" w:styleId="Heading1Char">
    <w:name w:val="Heading 1 Char"/>
    <w:basedOn w:val="DefaultParagraphFont"/>
    <w:link w:val="Heading1"/>
    <w:uiPriority w:val="9"/>
    <w:rsid w:val="00C95A0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95A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6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906</Words>
  <Characters>5708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2024-02-27T18:39:00Z</dcterms:created>
  <dcterms:modified xsi:type="dcterms:W3CDTF">2024-02-27T18:39:00Z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3bede71e40150de0788dbf73da5ebe081f2051310141be81dd5f207243d7ae56</vt:lpwstr>
  </property>
</Properties>
</file>